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12" w:rsidRPr="004D6112" w:rsidRDefault="004D6112" w:rsidP="004D6112">
      <w:pPr>
        <w:spacing w:after="0"/>
        <w:rPr>
          <w:b/>
          <w:bCs/>
        </w:rPr>
      </w:pPr>
    </w:p>
    <w:p w:rsidR="004D6112" w:rsidRPr="004D6112" w:rsidRDefault="004D6112" w:rsidP="004D6112">
      <w:pPr>
        <w:pBdr>
          <w:top w:val="single" w:sz="4" w:space="1" w:color="auto"/>
          <w:left w:val="single" w:sz="4" w:space="4" w:color="auto"/>
          <w:bottom w:val="single" w:sz="4" w:space="1" w:color="auto"/>
          <w:right w:val="single" w:sz="4" w:space="4" w:color="auto"/>
        </w:pBdr>
        <w:shd w:val="clear" w:color="auto" w:fill="D9D9D9"/>
        <w:jc w:val="center"/>
        <w:rPr>
          <w:rFonts w:cs="Arial"/>
          <w:b/>
        </w:rPr>
      </w:pPr>
    </w:p>
    <w:p w:rsidR="004D6112" w:rsidRPr="004D6112" w:rsidRDefault="004D6112" w:rsidP="004D6112">
      <w:pPr>
        <w:pBdr>
          <w:top w:val="single" w:sz="4" w:space="1" w:color="auto"/>
          <w:left w:val="single" w:sz="4" w:space="4" w:color="auto"/>
          <w:bottom w:val="single" w:sz="4" w:space="1" w:color="auto"/>
          <w:right w:val="single" w:sz="4" w:space="4" w:color="auto"/>
        </w:pBdr>
        <w:shd w:val="clear" w:color="auto" w:fill="D9D9D9"/>
        <w:jc w:val="center"/>
        <w:rPr>
          <w:rFonts w:cs="Arial"/>
          <w:b/>
          <w:sz w:val="22"/>
          <w:szCs w:val="22"/>
        </w:rPr>
      </w:pPr>
      <w:r w:rsidRPr="004D6112">
        <w:rPr>
          <w:rFonts w:cs="Arial"/>
          <w:b/>
          <w:sz w:val="22"/>
          <w:szCs w:val="22"/>
        </w:rPr>
        <w:t xml:space="preserve">PROTECTION SOCIALE COMPLEMENTAIRE </w:t>
      </w:r>
    </w:p>
    <w:p w:rsidR="004D6112" w:rsidRPr="004D6112" w:rsidRDefault="004D6112" w:rsidP="004D6112">
      <w:pPr>
        <w:pBdr>
          <w:top w:val="single" w:sz="4" w:space="1" w:color="auto"/>
          <w:left w:val="single" w:sz="4" w:space="4" w:color="auto"/>
          <w:bottom w:val="single" w:sz="4" w:space="1" w:color="auto"/>
          <w:right w:val="single" w:sz="4" w:space="4" w:color="auto"/>
        </w:pBdr>
        <w:shd w:val="clear" w:color="auto" w:fill="D9D9D9"/>
        <w:jc w:val="center"/>
        <w:rPr>
          <w:rFonts w:cs="Arial"/>
          <w:b/>
          <w:sz w:val="22"/>
          <w:szCs w:val="22"/>
        </w:rPr>
      </w:pPr>
      <w:r w:rsidRPr="004D6112">
        <w:rPr>
          <w:rFonts w:cs="Arial"/>
          <w:b/>
          <w:sz w:val="22"/>
          <w:szCs w:val="22"/>
        </w:rPr>
        <w:t>ORGANISATION D’UN DEBAT DEVANT L’ASSEMBLEE DELIBERANTE</w:t>
      </w:r>
    </w:p>
    <w:p w:rsidR="004D6112" w:rsidRPr="004D6112" w:rsidRDefault="004D6112" w:rsidP="004D6112">
      <w:pPr>
        <w:pBdr>
          <w:top w:val="single" w:sz="4" w:space="1" w:color="auto"/>
          <w:left w:val="single" w:sz="4" w:space="4" w:color="auto"/>
          <w:bottom w:val="single" w:sz="4" w:space="1" w:color="auto"/>
          <w:right w:val="single" w:sz="4" w:space="4" w:color="auto"/>
        </w:pBdr>
        <w:shd w:val="clear" w:color="auto" w:fill="D9D9D9"/>
        <w:jc w:val="center"/>
        <w:rPr>
          <w:rFonts w:cs="Arial"/>
          <w:b/>
        </w:rPr>
      </w:pPr>
    </w:p>
    <w:p w:rsidR="004D6112" w:rsidRPr="000B13F8" w:rsidRDefault="004D6112" w:rsidP="004D6112">
      <w:pPr>
        <w:spacing w:after="0"/>
        <w:rPr>
          <w:rFonts w:cstheme="minorHAnsi"/>
          <w:sz w:val="21"/>
          <w:szCs w:val="21"/>
        </w:rPr>
      </w:pPr>
    </w:p>
    <w:p w:rsidR="004D6112" w:rsidRPr="004D6112" w:rsidRDefault="004D6112" w:rsidP="004D6112">
      <w:pPr>
        <w:spacing w:after="0"/>
        <w:rPr>
          <w:rFonts w:cs="Arial"/>
          <w:shd w:val="clear" w:color="auto" w:fill="FFFFFF"/>
        </w:rPr>
      </w:pPr>
      <w:r w:rsidRPr="004D6112">
        <w:rPr>
          <w:rFonts w:cs="Arial"/>
        </w:rPr>
        <w:t xml:space="preserve">En application de l’article 4 III de l’ordonnance n°2021-175 du 17 février 2021 relative à la protection sociale complémentaire dans la fonction publique, </w:t>
      </w:r>
      <w:r w:rsidRPr="004D6112">
        <w:rPr>
          <w:rFonts w:cs="Arial"/>
          <w:shd w:val="clear" w:color="auto" w:fill="FFFFFF"/>
        </w:rPr>
        <w:t xml:space="preserve">les assemblées délibérantes des collectivités territoriales et de leurs établissements publics organisent un débat portant sur les garanties accordées aux agents en matière de protection sociale complémentaire dans un délai d'un an à compter de la publication de la présente ordonnance, </w:t>
      </w:r>
      <w:r w:rsidRPr="004D6112">
        <w:rPr>
          <w:rFonts w:cs="Arial"/>
          <w:b/>
          <w:bCs/>
          <w:u w:val="single"/>
          <w:shd w:val="clear" w:color="auto" w:fill="FFFFFF"/>
        </w:rPr>
        <w:t xml:space="preserve">soit </w:t>
      </w:r>
      <w:r w:rsidR="00ED7152">
        <w:rPr>
          <w:rFonts w:cs="Arial"/>
          <w:b/>
          <w:bCs/>
          <w:u w:val="single"/>
          <w:shd w:val="clear" w:color="auto" w:fill="FFFFFF"/>
        </w:rPr>
        <w:t>au plus tard</w:t>
      </w:r>
      <w:r w:rsidRPr="004D6112">
        <w:rPr>
          <w:rFonts w:cs="Arial"/>
          <w:b/>
          <w:bCs/>
          <w:u w:val="single"/>
          <w:shd w:val="clear" w:color="auto" w:fill="FFFFFF"/>
        </w:rPr>
        <w:t xml:space="preserve"> le 18 février 2022</w:t>
      </w:r>
      <w:r w:rsidRPr="004D6112">
        <w:rPr>
          <w:rFonts w:cs="Arial"/>
          <w:shd w:val="clear" w:color="auto" w:fill="FFFFFF"/>
        </w:rPr>
        <w:t>.</w:t>
      </w:r>
    </w:p>
    <w:p w:rsidR="004D6112" w:rsidRPr="004D6112" w:rsidRDefault="004D6112" w:rsidP="004D6112">
      <w:pPr>
        <w:spacing w:after="0"/>
        <w:rPr>
          <w:rFonts w:cs="Arial"/>
          <w:i/>
          <w:iCs/>
          <w:shd w:val="clear" w:color="auto" w:fill="FFFFFF"/>
        </w:rPr>
      </w:pPr>
      <w:r w:rsidRPr="004D6112">
        <w:rPr>
          <w:rFonts w:cs="Arial"/>
          <w:shd w:val="clear" w:color="auto" w:fill="FFFFFF"/>
        </w:rPr>
        <w:t xml:space="preserve">Par la suite, ce débat devra avoir lieu dans </w:t>
      </w:r>
      <w:r w:rsidRPr="004D6112">
        <w:rPr>
          <w:rFonts w:cs="Arial"/>
          <w:u w:val="single"/>
          <w:shd w:val="clear" w:color="auto" w:fill="FFFFFF"/>
        </w:rPr>
        <w:t>un délai de six mois</w:t>
      </w:r>
      <w:r w:rsidRPr="004D6112">
        <w:rPr>
          <w:rFonts w:cs="Arial"/>
          <w:shd w:val="clear" w:color="auto" w:fill="FFFFFF"/>
        </w:rPr>
        <w:t xml:space="preserve"> suivant le renouvellement général des assemblées délibérantes des collectivités territoriales et de leurs établissements publics </w:t>
      </w:r>
      <w:r w:rsidRPr="004D6112">
        <w:rPr>
          <w:rFonts w:cs="Arial"/>
          <w:i/>
          <w:iCs/>
          <w:shd w:val="clear" w:color="auto" w:fill="FFFFFF"/>
        </w:rPr>
        <w:t>(article 88-4 de la loi n°84-53 du 26 janvier 1984).</w:t>
      </w:r>
    </w:p>
    <w:p w:rsidR="004D6112" w:rsidRPr="004D6112" w:rsidRDefault="004D6112" w:rsidP="004D6112">
      <w:pPr>
        <w:spacing w:after="0"/>
        <w:rPr>
          <w:rFonts w:cs="Arial"/>
          <w:shd w:val="clear" w:color="auto" w:fill="FFFFFF"/>
        </w:rPr>
      </w:pPr>
      <w:r w:rsidRPr="004D6112">
        <w:rPr>
          <w:rFonts w:cs="Arial"/>
          <w:shd w:val="clear" w:color="auto" w:fill="FFFFFF"/>
        </w:rPr>
        <w:t>Ce débat a pour objet de présenter les enjeux et le cadre de la protection sociale complémentaire, en prenant en compte l’entrée en vigueur progressive de l’ordonnance n°2021-175 du 17 février 2021.</w:t>
      </w:r>
    </w:p>
    <w:p w:rsidR="004D6112" w:rsidRPr="004D6112" w:rsidRDefault="004D6112" w:rsidP="004D6112">
      <w:pPr>
        <w:spacing w:after="0"/>
        <w:rPr>
          <w:rFonts w:cs="Arial"/>
          <w:shd w:val="clear" w:color="auto" w:fill="FFFFFF"/>
        </w:rPr>
      </w:pPr>
      <w:r w:rsidRPr="004D6112">
        <w:rPr>
          <w:rFonts w:cs="Arial"/>
          <w:shd w:val="clear" w:color="auto" w:fill="FFFFFF"/>
        </w:rPr>
        <w:t xml:space="preserve">Le contenu du débat n’est pas déterminé par l’ordonnance n°2021-175 du 17 février 2021. </w:t>
      </w:r>
    </w:p>
    <w:p w:rsidR="00ED7152" w:rsidRPr="00ED7152" w:rsidRDefault="004D6112" w:rsidP="00ED7152">
      <w:pPr>
        <w:spacing w:after="0"/>
        <w:rPr>
          <w:rFonts w:cs="Arial"/>
          <w:shd w:val="clear" w:color="auto" w:fill="FFFFFF"/>
        </w:rPr>
      </w:pPr>
      <w:r w:rsidRPr="004D6112">
        <w:rPr>
          <w:rFonts w:cs="Arial"/>
          <w:shd w:val="clear" w:color="auto" w:fill="FFFFFF"/>
        </w:rPr>
        <w:t>Les employeurs publics territoriaux sont libres de définir le contenu du débat et de l’orienter autour des problématiques qui sont propres à leurs structures.</w:t>
      </w:r>
    </w:p>
    <w:p w:rsidR="00ED7152" w:rsidRPr="00FC2BA3" w:rsidRDefault="00ED7152" w:rsidP="00ED7152">
      <w:pPr>
        <w:jc w:val="center"/>
        <w:rPr>
          <w:rFonts w:ascii="Calibri" w:hAnsi="Calibri" w:cs="Calibri"/>
          <w:b/>
          <w:bCs/>
          <w:sz w:val="22"/>
          <w:szCs w:val="22"/>
        </w:rPr>
      </w:pPr>
    </w:p>
    <w:p w:rsidR="00ED7152" w:rsidRPr="00ED7152" w:rsidRDefault="00ED7152" w:rsidP="00ED7152">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rPr>
      </w:pPr>
    </w:p>
    <w:p w:rsidR="00ED7152" w:rsidRDefault="00ED7152" w:rsidP="00ED7152">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22"/>
          <w:szCs w:val="22"/>
        </w:rPr>
      </w:pPr>
      <w:r w:rsidRPr="00FC2BA3">
        <w:rPr>
          <w:rFonts w:ascii="Calibri" w:hAnsi="Calibri" w:cs="Calibri"/>
          <w:b/>
          <w:sz w:val="22"/>
          <w:szCs w:val="22"/>
        </w:rPr>
        <w:t>PROPOSITION DE TRAME DE RAPPORT</w:t>
      </w:r>
      <w:r w:rsidR="0062213D">
        <w:rPr>
          <w:rFonts w:ascii="Calibri" w:hAnsi="Calibri" w:cs="Calibri"/>
          <w:b/>
          <w:sz w:val="22"/>
          <w:szCs w:val="22"/>
        </w:rPr>
        <w:t xml:space="preserve"> (Modèle)</w:t>
      </w:r>
    </w:p>
    <w:p w:rsidR="00ED7152" w:rsidRPr="00ED7152" w:rsidRDefault="00ED7152" w:rsidP="00ED7152">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rPr>
      </w:pPr>
      <w:r w:rsidRPr="00FC2BA3">
        <w:rPr>
          <w:rFonts w:ascii="Calibri" w:hAnsi="Calibri" w:cs="Calibri"/>
          <w:b/>
          <w:sz w:val="22"/>
          <w:szCs w:val="22"/>
        </w:rPr>
        <w:t xml:space="preserve"> </w:t>
      </w:r>
    </w:p>
    <w:p w:rsidR="00ED7152" w:rsidRDefault="00ED7152" w:rsidP="00ED7152">
      <w:pPr>
        <w:rPr>
          <w:rFonts w:ascii="Calibri" w:hAnsi="Calibri" w:cs="Calibri"/>
          <w:sz w:val="22"/>
          <w:szCs w:val="22"/>
        </w:rPr>
      </w:pPr>
    </w:p>
    <w:p w:rsidR="004611F4" w:rsidRPr="00EB6B73" w:rsidRDefault="004611F4" w:rsidP="004611F4">
      <w:pPr>
        <w:rPr>
          <w:rFonts w:cs="Arial"/>
          <w:b/>
          <w:u w:val="single"/>
        </w:rPr>
      </w:pPr>
      <w:r w:rsidRPr="007C0868">
        <w:rPr>
          <w:rFonts w:cs="Arial"/>
          <w:b/>
          <w:u w:val="single"/>
        </w:rPr>
        <w:t xml:space="preserve">I/ </w:t>
      </w:r>
      <w:r>
        <w:rPr>
          <w:rFonts w:cs="Arial"/>
          <w:b/>
          <w:u w:val="single"/>
        </w:rPr>
        <w:t>Présentation de la Protection Sociale Complémentaire (PSC)</w:t>
      </w:r>
      <w:bookmarkStart w:id="0" w:name="_GoBack"/>
      <w:bookmarkEnd w:id="0"/>
    </w:p>
    <w:p w:rsidR="004611F4" w:rsidRDefault="004611F4" w:rsidP="004611F4">
      <w:pPr>
        <w:rPr>
          <w:rFonts w:cs="Arial"/>
        </w:rPr>
      </w:pPr>
      <w:r w:rsidRPr="007C0868">
        <w:rPr>
          <w:rFonts w:cs="Arial"/>
        </w:rPr>
        <w:t>La p</w:t>
      </w:r>
      <w:r>
        <w:rPr>
          <w:rFonts w:cs="Arial"/>
        </w:rPr>
        <w:t>rotection</w:t>
      </w:r>
      <w:r w:rsidRPr="007C0868">
        <w:rPr>
          <w:rFonts w:cs="Arial"/>
        </w:rPr>
        <w:t xml:space="preserve"> sociale complémentaire est une couverture sociale facultative apportée aux agents publics, en complément de celle prévue par le statut de la fonction publique et de celle de la sécurité sociale.</w:t>
      </w:r>
    </w:p>
    <w:p w:rsidR="00EB6B73" w:rsidRPr="007C0868" w:rsidRDefault="00EB6B73" w:rsidP="004611F4">
      <w:pPr>
        <w:rPr>
          <w:rFonts w:cs="Arial"/>
        </w:rPr>
      </w:pPr>
    </w:p>
    <w:p w:rsidR="004611F4" w:rsidRPr="007C0868" w:rsidRDefault="004611F4" w:rsidP="004611F4">
      <w:pPr>
        <w:rPr>
          <w:rFonts w:eastAsia="Garamond" w:cs="Arial"/>
        </w:rPr>
      </w:pPr>
      <w:r w:rsidRPr="007C0868">
        <w:rPr>
          <w:rFonts w:eastAsia="Garamond" w:cs="Arial"/>
        </w:rPr>
        <w:t>La protection sociale complémentaire est destinée à couvrir :</w:t>
      </w:r>
      <w:r>
        <w:rPr>
          <w:rFonts w:eastAsia="Garamond" w:cs="Arial"/>
        </w:rPr>
        <w:t xml:space="preserve">  </w:t>
      </w:r>
    </w:p>
    <w:p w:rsidR="004611F4" w:rsidRPr="007C0868" w:rsidRDefault="004611F4" w:rsidP="004611F4">
      <w:pPr>
        <w:pStyle w:val="Paragraphedeliste"/>
        <w:numPr>
          <w:ilvl w:val="0"/>
          <w:numId w:val="9"/>
        </w:numPr>
        <w:spacing w:after="0" w:line="240" w:lineRule="auto"/>
        <w:jc w:val="both"/>
        <w:rPr>
          <w:rFonts w:ascii="Arial" w:eastAsiaTheme="minorEastAsia" w:hAnsi="Arial" w:cs="Arial"/>
          <w:sz w:val="20"/>
          <w:szCs w:val="20"/>
        </w:rPr>
      </w:pPr>
      <w:r>
        <w:rPr>
          <w:rFonts w:ascii="Arial" w:eastAsia="Garamond" w:hAnsi="Arial" w:cs="Arial"/>
          <w:sz w:val="20"/>
          <w:szCs w:val="20"/>
        </w:rPr>
        <w:t>s</w:t>
      </w:r>
      <w:r w:rsidRPr="007C0868">
        <w:rPr>
          <w:rFonts w:ascii="Arial" w:eastAsia="Garamond" w:hAnsi="Arial" w:cs="Arial"/>
          <w:sz w:val="20"/>
          <w:szCs w:val="20"/>
        </w:rPr>
        <w:t xml:space="preserve">oit les risques d’atteinte à l’intégrité physique de la personne ; désignés sous la dénomination de risques ou de complémentaire </w:t>
      </w:r>
      <w:r w:rsidRPr="007C0868">
        <w:rPr>
          <w:rFonts w:ascii="Arial" w:eastAsia="Garamond" w:hAnsi="Arial" w:cs="Arial"/>
          <w:b/>
          <w:bCs/>
          <w:sz w:val="20"/>
          <w:szCs w:val="20"/>
        </w:rPr>
        <w:t>« santé »</w:t>
      </w:r>
      <w:r w:rsidRPr="007C0868">
        <w:rPr>
          <w:rFonts w:ascii="Arial" w:eastAsia="Garamond" w:hAnsi="Arial" w:cs="Arial"/>
          <w:sz w:val="20"/>
          <w:szCs w:val="20"/>
        </w:rPr>
        <w:t xml:space="preserve"> ; </w:t>
      </w:r>
    </w:p>
    <w:p w:rsidR="004611F4" w:rsidRPr="007C0868" w:rsidRDefault="004611F4" w:rsidP="004611F4">
      <w:pPr>
        <w:pStyle w:val="Paragraphedeliste"/>
        <w:spacing w:after="0" w:line="240" w:lineRule="auto"/>
        <w:jc w:val="both"/>
        <w:rPr>
          <w:rFonts w:ascii="Arial" w:eastAsiaTheme="minorEastAsia" w:hAnsi="Arial" w:cs="Arial"/>
          <w:sz w:val="20"/>
          <w:szCs w:val="20"/>
        </w:rPr>
      </w:pPr>
    </w:p>
    <w:p w:rsidR="004611F4" w:rsidRPr="00EB6B73" w:rsidRDefault="004611F4" w:rsidP="004611F4">
      <w:pPr>
        <w:pStyle w:val="Paragraphedeliste"/>
        <w:numPr>
          <w:ilvl w:val="0"/>
          <w:numId w:val="9"/>
        </w:numPr>
        <w:spacing w:after="0" w:line="240" w:lineRule="auto"/>
        <w:jc w:val="both"/>
        <w:rPr>
          <w:rFonts w:ascii="Arial" w:hAnsi="Arial" w:cs="Arial"/>
          <w:sz w:val="20"/>
          <w:szCs w:val="20"/>
        </w:rPr>
      </w:pPr>
      <w:r>
        <w:rPr>
          <w:rFonts w:ascii="Arial" w:eastAsia="Garamond" w:hAnsi="Arial" w:cs="Arial"/>
          <w:sz w:val="20"/>
          <w:szCs w:val="20"/>
        </w:rPr>
        <w:t>s</w:t>
      </w:r>
      <w:r w:rsidRPr="007C0868">
        <w:rPr>
          <w:rFonts w:ascii="Arial" w:eastAsia="Garamond" w:hAnsi="Arial" w:cs="Arial"/>
          <w:sz w:val="20"/>
          <w:szCs w:val="20"/>
        </w:rPr>
        <w:t xml:space="preserve">oit les risques liés à l’incapacité de travail, l’invalidité ou le décès ; désignés sous la dénomination de risques ou de complémentaire </w:t>
      </w:r>
      <w:r w:rsidRPr="007C0868">
        <w:rPr>
          <w:rFonts w:ascii="Arial" w:eastAsia="Garamond" w:hAnsi="Arial" w:cs="Arial"/>
          <w:b/>
          <w:bCs/>
          <w:sz w:val="20"/>
          <w:szCs w:val="20"/>
        </w:rPr>
        <w:t>« prévoyance »</w:t>
      </w:r>
      <w:r w:rsidRPr="007C0868">
        <w:rPr>
          <w:rFonts w:ascii="Arial" w:eastAsia="Garamond" w:hAnsi="Arial" w:cs="Arial"/>
          <w:sz w:val="20"/>
          <w:szCs w:val="20"/>
        </w:rPr>
        <w:t> ;</w:t>
      </w:r>
    </w:p>
    <w:p w:rsidR="00EB6B73" w:rsidRPr="00EB6B73" w:rsidRDefault="00EB6B73" w:rsidP="00EB6B73">
      <w:pPr>
        <w:spacing w:after="0"/>
        <w:rPr>
          <w:rFonts w:cs="Arial"/>
        </w:rPr>
      </w:pPr>
    </w:p>
    <w:p w:rsidR="004611F4" w:rsidRDefault="004611F4" w:rsidP="004611F4">
      <w:pPr>
        <w:pStyle w:val="Paragraphedeliste"/>
        <w:numPr>
          <w:ilvl w:val="0"/>
          <w:numId w:val="9"/>
        </w:numPr>
        <w:spacing w:after="0"/>
        <w:jc w:val="both"/>
        <w:rPr>
          <w:rFonts w:ascii="Arial" w:eastAsia="Garamond" w:hAnsi="Arial" w:cs="Arial"/>
          <w:sz w:val="20"/>
          <w:szCs w:val="20"/>
        </w:rPr>
      </w:pPr>
      <w:r>
        <w:rPr>
          <w:rFonts w:ascii="Arial" w:eastAsia="Garamond" w:hAnsi="Arial" w:cs="Arial"/>
          <w:sz w:val="20"/>
          <w:szCs w:val="20"/>
        </w:rPr>
        <w:t>s</w:t>
      </w:r>
      <w:r w:rsidRPr="007C0868">
        <w:rPr>
          <w:rFonts w:ascii="Arial" w:eastAsia="Garamond" w:hAnsi="Arial" w:cs="Arial"/>
          <w:sz w:val="20"/>
          <w:szCs w:val="20"/>
        </w:rPr>
        <w:t xml:space="preserve">oit les deux risques : </w:t>
      </w:r>
      <w:r w:rsidRPr="007C0868">
        <w:rPr>
          <w:rFonts w:ascii="Arial" w:eastAsia="Garamond" w:hAnsi="Arial" w:cs="Arial"/>
          <w:b/>
          <w:bCs/>
          <w:sz w:val="20"/>
          <w:szCs w:val="20"/>
        </w:rPr>
        <w:t>« santé »</w:t>
      </w:r>
      <w:r w:rsidRPr="007C0868">
        <w:rPr>
          <w:rFonts w:ascii="Arial" w:eastAsia="Garamond" w:hAnsi="Arial" w:cs="Arial"/>
          <w:sz w:val="20"/>
          <w:szCs w:val="20"/>
        </w:rPr>
        <w:t xml:space="preserve"> et </w:t>
      </w:r>
      <w:r w:rsidRPr="007C0868">
        <w:rPr>
          <w:rFonts w:ascii="Arial" w:eastAsia="Garamond" w:hAnsi="Arial" w:cs="Arial"/>
          <w:b/>
          <w:bCs/>
          <w:sz w:val="20"/>
          <w:szCs w:val="20"/>
        </w:rPr>
        <w:t>« prévoyance »</w:t>
      </w:r>
      <w:r w:rsidRPr="007C0868">
        <w:rPr>
          <w:rFonts w:ascii="Arial" w:eastAsia="Garamond" w:hAnsi="Arial" w:cs="Arial"/>
          <w:sz w:val="20"/>
          <w:szCs w:val="20"/>
        </w:rPr>
        <w:t>.</w:t>
      </w:r>
    </w:p>
    <w:p w:rsidR="004611F4" w:rsidRPr="004E5C67" w:rsidRDefault="004611F4" w:rsidP="004611F4">
      <w:pPr>
        <w:rPr>
          <w:rFonts w:eastAsia="Garamond" w:cs="Arial"/>
        </w:rPr>
      </w:pPr>
    </w:p>
    <w:p w:rsidR="004611F4" w:rsidRDefault="004611F4" w:rsidP="004611F4">
      <w:pPr>
        <w:rPr>
          <w:rFonts w:cs="Arial"/>
        </w:rPr>
      </w:pPr>
      <w:r w:rsidRPr="007C0868">
        <w:rPr>
          <w:rFonts w:cs="Arial"/>
        </w:rPr>
        <w:t xml:space="preserve">La loi n°2007-148 du 2 février 2007 de modernisation de la fonction publique ouvre la possibilité aux employeurs publics de participer financièrement aux garanties de protection sociale complémentaire souscrites par leurs agents. </w:t>
      </w:r>
    </w:p>
    <w:p w:rsidR="004611F4" w:rsidRPr="007C0868" w:rsidRDefault="004611F4" w:rsidP="004611F4">
      <w:pPr>
        <w:rPr>
          <w:rFonts w:cs="Arial"/>
        </w:rPr>
      </w:pPr>
    </w:p>
    <w:p w:rsidR="00EB6B73" w:rsidRDefault="00EB6B73" w:rsidP="004611F4">
      <w:pPr>
        <w:rPr>
          <w:rFonts w:cs="Arial"/>
        </w:rPr>
      </w:pPr>
    </w:p>
    <w:p w:rsidR="004611F4" w:rsidRDefault="004611F4" w:rsidP="004611F4">
      <w:pPr>
        <w:rPr>
          <w:rFonts w:cs="Arial"/>
        </w:rPr>
      </w:pPr>
      <w:r w:rsidRPr="007C0868">
        <w:rPr>
          <w:rFonts w:cs="Arial"/>
        </w:rPr>
        <w:t>Dans la fonction publique territoriale, cette participation financière est actée par le décret n°2011-1174 du 8 novembre 2011</w:t>
      </w:r>
      <w:r>
        <w:rPr>
          <w:rFonts w:cs="Arial"/>
        </w:rPr>
        <w:t>.</w:t>
      </w:r>
    </w:p>
    <w:p w:rsidR="004611F4" w:rsidRDefault="004611F4" w:rsidP="004611F4">
      <w:pPr>
        <w:rPr>
          <w:rFonts w:cs="Arial"/>
        </w:rPr>
      </w:pPr>
      <w:r w:rsidRPr="007C0868">
        <w:rPr>
          <w:rFonts w:cs="Arial"/>
        </w:rPr>
        <w:t>Le décret prévoit deux dispositifs de participation aux contrats des agents publics</w:t>
      </w:r>
      <w:r>
        <w:rPr>
          <w:rFonts w:cs="Arial"/>
        </w:rPr>
        <w:t> </w:t>
      </w:r>
      <w:r w:rsidRPr="007C0868">
        <w:rPr>
          <w:rFonts w:cs="Arial"/>
        </w:rPr>
        <w:t xml:space="preserve">: </w:t>
      </w:r>
    </w:p>
    <w:p w:rsidR="00EB6B73" w:rsidRPr="007C0868" w:rsidRDefault="00EB6B73" w:rsidP="004611F4">
      <w:pPr>
        <w:rPr>
          <w:rFonts w:cs="Arial"/>
        </w:rPr>
      </w:pPr>
    </w:p>
    <w:p w:rsidR="004611F4" w:rsidRDefault="004611F4" w:rsidP="004611F4">
      <w:pPr>
        <w:pStyle w:val="Paragraphedeliste"/>
        <w:numPr>
          <w:ilvl w:val="0"/>
          <w:numId w:val="9"/>
        </w:numPr>
        <w:spacing w:after="0" w:line="240" w:lineRule="auto"/>
        <w:jc w:val="both"/>
        <w:rPr>
          <w:rFonts w:ascii="Arial" w:hAnsi="Arial" w:cs="Arial"/>
          <w:sz w:val="20"/>
          <w:szCs w:val="20"/>
        </w:rPr>
      </w:pPr>
      <w:r>
        <w:rPr>
          <w:rFonts w:ascii="Arial" w:hAnsi="Arial" w:cs="Arial"/>
          <w:b/>
          <w:bCs/>
          <w:sz w:val="20"/>
          <w:szCs w:val="20"/>
        </w:rPr>
        <w:t>l</w:t>
      </w:r>
      <w:r w:rsidRPr="007C0868">
        <w:rPr>
          <w:rFonts w:ascii="Arial" w:hAnsi="Arial" w:cs="Arial"/>
          <w:b/>
          <w:bCs/>
          <w:sz w:val="20"/>
          <w:szCs w:val="20"/>
        </w:rPr>
        <w:t>a labellisation</w:t>
      </w:r>
      <w:r>
        <w:rPr>
          <w:rFonts w:ascii="Arial" w:hAnsi="Arial" w:cs="Arial"/>
          <w:bCs/>
          <w:sz w:val="20"/>
          <w:szCs w:val="20"/>
        </w:rPr>
        <w:t> : les contrats sont alors référencés par des organismes accrédités et souscrits individuellement par les agents.</w:t>
      </w:r>
      <w:r w:rsidRPr="007C0868">
        <w:rPr>
          <w:rFonts w:ascii="Arial" w:hAnsi="Arial" w:cs="Arial"/>
          <w:sz w:val="20"/>
          <w:szCs w:val="20"/>
        </w:rPr>
        <w:t xml:space="preserve"> </w:t>
      </w:r>
    </w:p>
    <w:p w:rsidR="004611F4" w:rsidRPr="007C0868" w:rsidRDefault="004611F4" w:rsidP="004611F4">
      <w:pPr>
        <w:pStyle w:val="Paragraphedeliste"/>
        <w:spacing w:after="0" w:line="240" w:lineRule="auto"/>
        <w:jc w:val="both"/>
        <w:rPr>
          <w:rFonts w:ascii="Arial" w:hAnsi="Arial" w:cs="Arial"/>
          <w:sz w:val="20"/>
          <w:szCs w:val="20"/>
        </w:rPr>
      </w:pPr>
    </w:p>
    <w:p w:rsidR="00EB6B73" w:rsidRPr="00EB6B73" w:rsidRDefault="004611F4" w:rsidP="00EB6B73">
      <w:pPr>
        <w:pStyle w:val="Paragraphedeliste"/>
        <w:numPr>
          <w:ilvl w:val="0"/>
          <w:numId w:val="9"/>
        </w:numPr>
        <w:spacing w:after="0" w:line="240" w:lineRule="auto"/>
        <w:jc w:val="both"/>
        <w:rPr>
          <w:rFonts w:ascii="Arial" w:hAnsi="Arial" w:cs="Arial"/>
          <w:sz w:val="20"/>
          <w:szCs w:val="20"/>
        </w:rPr>
      </w:pPr>
      <w:r>
        <w:rPr>
          <w:rFonts w:ascii="Arial" w:hAnsi="Arial" w:cs="Arial"/>
          <w:b/>
          <w:bCs/>
          <w:sz w:val="20"/>
          <w:szCs w:val="20"/>
        </w:rPr>
        <w:t>l</w:t>
      </w:r>
      <w:r w:rsidRPr="007C0868">
        <w:rPr>
          <w:rFonts w:ascii="Arial" w:hAnsi="Arial" w:cs="Arial"/>
          <w:b/>
          <w:bCs/>
          <w:sz w:val="20"/>
          <w:szCs w:val="20"/>
        </w:rPr>
        <w:t>a convention de participation</w:t>
      </w:r>
      <w:r w:rsidRPr="007C0868">
        <w:rPr>
          <w:rFonts w:ascii="Arial" w:hAnsi="Arial" w:cs="Arial"/>
          <w:bCs/>
          <w:sz w:val="20"/>
          <w:szCs w:val="20"/>
        </w:rPr>
        <w:t>, qui</w:t>
      </w:r>
      <w:r w:rsidRPr="007C0868">
        <w:rPr>
          <w:rFonts w:ascii="Arial" w:hAnsi="Arial" w:cs="Arial"/>
          <w:sz w:val="20"/>
          <w:szCs w:val="20"/>
        </w:rPr>
        <w:t> se traduit par une mise en concurrence effectuée par la collectivité (ou le Centre de Gestion si la collectivité lui a donné mandat) permettant de sélectionner une offre répondant aux besoins propres des agents et remplissant les conditions de solidarité prévues par la loi. L’offre de l’opérateur sélectionné sera proposée à l’adhésion individuelle et facultative des agents de la collectivité.</w:t>
      </w:r>
    </w:p>
    <w:p w:rsidR="004611F4" w:rsidRPr="00EB6B73" w:rsidRDefault="004611F4" w:rsidP="004611F4">
      <w:pPr>
        <w:rPr>
          <w:rFonts w:eastAsia="Garamond" w:cs="Arial"/>
        </w:rPr>
      </w:pPr>
      <w:r w:rsidRPr="00985C51">
        <w:rPr>
          <w:rFonts w:eastAsia="Garamond" w:cs="Arial"/>
        </w:rPr>
        <w:t>Sont ainsi bénéficiaires de cette participation financière, les fonctionnaires titulaires et stagiaires, les agents contractuels de droit public ainsi que les agents contractuels de droit privé (contrats aidés, apprentis, etc.).</w:t>
      </w:r>
    </w:p>
    <w:p w:rsidR="004611F4" w:rsidRPr="00985C51" w:rsidRDefault="004611F4" w:rsidP="004611F4">
      <w:pPr>
        <w:rPr>
          <w:rFonts w:cs="Arial"/>
        </w:rPr>
      </w:pPr>
      <w:r w:rsidRPr="00985C51">
        <w:rPr>
          <w:rFonts w:cs="Arial"/>
        </w:rPr>
        <w:t>La participation financière des employeurs publics à la protection sociale complémentaire présente plusieurs finalités :</w:t>
      </w:r>
    </w:p>
    <w:p w:rsidR="004611F4" w:rsidRPr="00985C51" w:rsidRDefault="004611F4" w:rsidP="004611F4">
      <w:pPr>
        <w:pStyle w:val="Paragraphedeliste"/>
        <w:numPr>
          <w:ilvl w:val="0"/>
          <w:numId w:val="10"/>
        </w:numPr>
        <w:spacing w:after="0" w:line="240" w:lineRule="auto"/>
        <w:ind w:left="2136"/>
        <w:jc w:val="both"/>
        <w:rPr>
          <w:rFonts w:ascii="Arial" w:hAnsi="Arial" w:cs="Arial"/>
          <w:sz w:val="20"/>
          <w:szCs w:val="20"/>
        </w:rPr>
      </w:pPr>
      <w:r>
        <w:rPr>
          <w:rFonts w:ascii="Arial" w:hAnsi="Arial" w:cs="Arial"/>
          <w:sz w:val="20"/>
          <w:szCs w:val="20"/>
        </w:rPr>
        <w:t>u</w:t>
      </w:r>
      <w:r w:rsidRPr="00985C51">
        <w:rPr>
          <w:rFonts w:ascii="Arial" w:hAnsi="Arial" w:cs="Arial"/>
          <w:sz w:val="20"/>
          <w:szCs w:val="20"/>
        </w:rPr>
        <w:t>ne source d’attractivité ;</w:t>
      </w:r>
    </w:p>
    <w:p w:rsidR="004611F4" w:rsidRPr="00985C51" w:rsidRDefault="004611F4" w:rsidP="004611F4">
      <w:pPr>
        <w:pStyle w:val="Paragraphedeliste"/>
        <w:numPr>
          <w:ilvl w:val="0"/>
          <w:numId w:val="10"/>
        </w:numPr>
        <w:spacing w:after="0" w:line="240" w:lineRule="auto"/>
        <w:ind w:left="2136"/>
        <w:jc w:val="both"/>
        <w:rPr>
          <w:rFonts w:ascii="Arial" w:hAnsi="Arial" w:cs="Arial"/>
          <w:sz w:val="20"/>
          <w:szCs w:val="20"/>
        </w:rPr>
      </w:pPr>
      <w:r>
        <w:rPr>
          <w:rFonts w:ascii="Arial" w:hAnsi="Arial" w:cs="Arial"/>
          <w:sz w:val="20"/>
          <w:szCs w:val="20"/>
        </w:rPr>
        <w:t>u</w:t>
      </w:r>
      <w:r w:rsidRPr="00985C51">
        <w:rPr>
          <w:rFonts w:ascii="Arial" w:hAnsi="Arial" w:cs="Arial"/>
          <w:sz w:val="20"/>
          <w:szCs w:val="20"/>
        </w:rPr>
        <w:t xml:space="preserve">ne source d’efficacité au travail ; </w:t>
      </w:r>
    </w:p>
    <w:p w:rsidR="004611F4" w:rsidRPr="00985C51" w:rsidRDefault="004611F4" w:rsidP="004611F4">
      <w:pPr>
        <w:pStyle w:val="Paragraphedeliste"/>
        <w:numPr>
          <w:ilvl w:val="0"/>
          <w:numId w:val="10"/>
        </w:numPr>
        <w:spacing w:after="0" w:line="240" w:lineRule="auto"/>
        <w:ind w:left="2136"/>
        <w:jc w:val="both"/>
        <w:rPr>
          <w:rFonts w:ascii="Arial" w:hAnsi="Arial" w:cs="Arial"/>
          <w:sz w:val="20"/>
          <w:szCs w:val="20"/>
        </w:rPr>
      </w:pPr>
      <w:r>
        <w:rPr>
          <w:rFonts w:ascii="Arial" w:hAnsi="Arial" w:cs="Arial"/>
          <w:sz w:val="20"/>
          <w:szCs w:val="20"/>
        </w:rPr>
        <w:t>u</w:t>
      </w:r>
      <w:r w:rsidRPr="00985C51">
        <w:rPr>
          <w:rFonts w:ascii="Arial" w:hAnsi="Arial" w:cs="Arial"/>
          <w:sz w:val="20"/>
          <w:szCs w:val="20"/>
        </w:rPr>
        <w:t>n outil de dialogue social ;</w:t>
      </w:r>
    </w:p>
    <w:p w:rsidR="004611F4" w:rsidRDefault="004611F4" w:rsidP="004611F4">
      <w:pPr>
        <w:pStyle w:val="Paragraphedeliste"/>
        <w:numPr>
          <w:ilvl w:val="0"/>
          <w:numId w:val="10"/>
        </w:numPr>
        <w:spacing w:after="0" w:line="240" w:lineRule="auto"/>
        <w:ind w:left="2136"/>
        <w:jc w:val="both"/>
        <w:rPr>
          <w:rFonts w:ascii="Arial" w:hAnsi="Arial" w:cs="Arial"/>
          <w:sz w:val="20"/>
          <w:szCs w:val="20"/>
        </w:rPr>
      </w:pPr>
      <w:r>
        <w:rPr>
          <w:rFonts w:ascii="Arial" w:hAnsi="Arial" w:cs="Arial"/>
          <w:sz w:val="20"/>
          <w:szCs w:val="20"/>
        </w:rPr>
        <w:t>u</w:t>
      </w:r>
      <w:r w:rsidRPr="00985C51">
        <w:rPr>
          <w:rFonts w:ascii="Arial" w:hAnsi="Arial" w:cs="Arial"/>
          <w:sz w:val="20"/>
          <w:szCs w:val="20"/>
        </w:rPr>
        <w:t>n outil d’engagement politique RH.</w:t>
      </w:r>
    </w:p>
    <w:p w:rsidR="004611F4" w:rsidRDefault="004611F4" w:rsidP="004611F4">
      <w:pPr>
        <w:rPr>
          <w:rFonts w:cs="Arial"/>
          <w:b/>
          <w:u w:val="single"/>
        </w:rPr>
      </w:pPr>
    </w:p>
    <w:p w:rsidR="004611F4" w:rsidRDefault="004611F4" w:rsidP="004611F4">
      <w:pPr>
        <w:rPr>
          <w:rFonts w:cs="Arial"/>
          <w:b/>
          <w:u w:val="single"/>
        </w:rPr>
      </w:pPr>
      <w:r>
        <w:rPr>
          <w:rFonts w:cs="Arial"/>
          <w:b/>
          <w:u w:val="single"/>
        </w:rPr>
        <w:t xml:space="preserve">II/ </w:t>
      </w:r>
      <w:proofErr w:type="spellStart"/>
      <w:r w:rsidR="00EB6B73">
        <w:rPr>
          <w:rFonts w:cs="Arial"/>
          <w:b/>
          <w:u w:val="single"/>
        </w:rPr>
        <w:t>Eléments</w:t>
      </w:r>
      <w:proofErr w:type="spellEnd"/>
      <w:r w:rsidR="00EB6B73">
        <w:rPr>
          <w:rFonts w:cs="Arial"/>
          <w:b/>
          <w:u w:val="single"/>
        </w:rPr>
        <w:t xml:space="preserve"> de contexte</w:t>
      </w:r>
    </w:p>
    <w:p w:rsidR="00EB6B73" w:rsidRDefault="00EB6B73" w:rsidP="004611F4">
      <w:pPr>
        <w:rPr>
          <w:rFonts w:cs="Arial"/>
          <w:b/>
          <w:u w:val="single"/>
        </w:rPr>
      </w:pPr>
    </w:p>
    <w:p w:rsidR="004611F4" w:rsidRPr="003E5354" w:rsidRDefault="004611F4" w:rsidP="004611F4">
      <w:pPr>
        <w:rPr>
          <w:rFonts w:cs="Arial"/>
        </w:rPr>
      </w:pPr>
      <w:r w:rsidRPr="003E5354">
        <w:rPr>
          <w:rFonts w:cs="Arial"/>
        </w:rPr>
        <w:t>Selon le baromètre IFOP</w:t>
      </w:r>
      <w:r>
        <w:rPr>
          <w:rFonts w:cs="Arial"/>
        </w:rPr>
        <w:t>, réalisé en décembre 2020,</w:t>
      </w:r>
      <w:r w:rsidRPr="003E5354">
        <w:rPr>
          <w:rFonts w:cs="Arial"/>
        </w:rPr>
        <w:t xml:space="preserve"> pour la Mutuelle Nationale Territoriale (MNT) sur la protection sociale complémentaire auprès des décideurs locaux des collectivités territoriales</w:t>
      </w:r>
      <w:r>
        <w:rPr>
          <w:rFonts w:cs="Arial"/>
        </w:rPr>
        <w:t xml:space="preserve">, </w:t>
      </w:r>
      <w:r w:rsidRPr="003E5354">
        <w:rPr>
          <w:rFonts w:cs="Arial"/>
        </w:rPr>
        <w:t>la couverture des agents est la suivante :</w:t>
      </w:r>
    </w:p>
    <w:p w:rsidR="004611F4" w:rsidRPr="003E5354" w:rsidRDefault="004611F4" w:rsidP="004611F4">
      <w:pPr>
        <w:rPr>
          <w:rFonts w:cs="Arial"/>
        </w:rPr>
      </w:pPr>
    </w:p>
    <w:p w:rsidR="004611F4" w:rsidRPr="003E5354" w:rsidRDefault="004611F4" w:rsidP="004611F4">
      <w:pPr>
        <w:rPr>
          <w:rFonts w:cs="Arial"/>
          <w:b/>
          <w:i/>
        </w:rPr>
      </w:pPr>
      <w:r w:rsidRPr="003E5354">
        <w:rPr>
          <w:rFonts w:cs="Arial"/>
          <w:b/>
          <w:i/>
        </w:rPr>
        <w:t>Pour le risque santé :</w:t>
      </w:r>
    </w:p>
    <w:p w:rsidR="004611F4" w:rsidRPr="003E5354" w:rsidRDefault="004611F4" w:rsidP="004611F4">
      <w:pPr>
        <w:pStyle w:val="Paragraphedeliste"/>
        <w:numPr>
          <w:ilvl w:val="0"/>
          <w:numId w:val="10"/>
        </w:numPr>
        <w:spacing w:line="256" w:lineRule="auto"/>
        <w:ind w:left="993"/>
        <w:jc w:val="both"/>
        <w:rPr>
          <w:rFonts w:ascii="Arial" w:hAnsi="Arial" w:cs="Arial"/>
          <w:sz w:val="20"/>
          <w:szCs w:val="20"/>
        </w:rPr>
      </w:pPr>
      <w:r w:rsidRPr="003E5354">
        <w:rPr>
          <w:rFonts w:ascii="Arial" w:hAnsi="Arial" w:cs="Arial"/>
          <w:sz w:val="20"/>
          <w:szCs w:val="20"/>
        </w:rPr>
        <w:t>2/3 des collectivités interrogées participent financièrement à la complémentaire santé</w:t>
      </w:r>
    </w:p>
    <w:p w:rsidR="004611F4" w:rsidRPr="003E5354" w:rsidRDefault="004611F4" w:rsidP="004611F4">
      <w:pPr>
        <w:pStyle w:val="Paragraphedeliste"/>
        <w:spacing w:line="256" w:lineRule="auto"/>
        <w:ind w:left="993"/>
        <w:jc w:val="both"/>
        <w:rPr>
          <w:rFonts w:ascii="Arial" w:hAnsi="Arial" w:cs="Arial"/>
          <w:sz w:val="20"/>
          <w:szCs w:val="20"/>
        </w:rPr>
      </w:pPr>
    </w:p>
    <w:p w:rsidR="004611F4" w:rsidRPr="003E5354" w:rsidRDefault="004611F4" w:rsidP="004611F4">
      <w:pPr>
        <w:pStyle w:val="Paragraphedeliste"/>
        <w:numPr>
          <w:ilvl w:val="1"/>
          <w:numId w:val="10"/>
        </w:numPr>
        <w:spacing w:line="256" w:lineRule="auto"/>
        <w:ind w:left="2268"/>
        <w:jc w:val="both"/>
        <w:rPr>
          <w:rFonts w:ascii="Arial" w:hAnsi="Arial" w:cs="Arial"/>
          <w:sz w:val="20"/>
          <w:szCs w:val="20"/>
        </w:rPr>
      </w:pPr>
      <w:r w:rsidRPr="003E5354">
        <w:rPr>
          <w:rFonts w:ascii="Arial" w:hAnsi="Arial" w:cs="Arial"/>
          <w:sz w:val="20"/>
          <w:szCs w:val="20"/>
        </w:rPr>
        <w:t>62% ont choisi la labellisation</w:t>
      </w:r>
    </w:p>
    <w:p w:rsidR="004611F4" w:rsidRPr="003E5354" w:rsidRDefault="004611F4" w:rsidP="004611F4">
      <w:pPr>
        <w:pStyle w:val="Paragraphedeliste"/>
        <w:numPr>
          <w:ilvl w:val="1"/>
          <w:numId w:val="10"/>
        </w:numPr>
        <w:spacing w:line="256" w:lineRule="auto"/>
        <w:ind w:left="2268"/>
        <w:jc w:val="both"/>
        <w:rPr>
          <w:rFonts w:ascii="Arial" w:hAnsi="Arial" w:cs="Arial"/>
          <w:sz w:val="20"/>
          <w:szCs w:val="20"/>
        </w:rPr>
      </w:pPr>
      <w:r w:rsidRPr="003E5354">
        <w:rPr>
          <w:rFonts w:ascii="Arial" w:hAnsi="Arial" w:cs="Arial"/>
          <w:sz w:val="20"/>
          <w:szCs w:val="20"/>
        </w:rPr>
        <w:t>38% la convention de participation</w:t>
      </w:r>
    </w:p>
    <w:p w:rsidR="004611F4" w:rsidRPr="003E5354" w:rsidRDefault="004611F4" w:rsidP="004611F4">
      <w:pPr>
        <w:pStyle w:val="Paragraphedeliste"/>
        <w:spacing w:line="256" w:lineRule="auto"/>
        <w:ind w:left="2268"/>
        <w:jc w:val="both"/>
        <w:rPr>
          <w:rFonts w:ascii="Arial" w:hAnsi="Arial" w:cs="Arial"/>
          <w:sz w:val="20"/>
          <w:szCs w:val="20"/>
        </w:rPr>
      </w:pPr>
    </w:p>
    <w:p w:rsidR="004611F4" w:rsidRPr="003E5354" w:rsidRDefault="004611F4" w:rsidP="004611F4">
      <w:pPr>
        <w:pStyle w:val="Paragraphedeliste"/>
        <w:numPr>
          <w:ilvl w:val="0"/>
          <w:numId w:val="10"/>
        </w:numPr>
        <w:spacing w:line="256" w:lineRule="auto"/>
        <w:ind w:left="993"/>
        <w:jc w:val="both"/>
        <w:rPr>
          <w:rFonts w:ascii="Arial" w:hAnsi="Arial" w:cs="Arial"/>
          <w:sz w:val="20"/>
          <w:szCs w:val="20"/>
        </w:rPr>
      </w:pPr>
      <w:r>
        <w:rPr>
          <w:rFonts w:ascii="Arial" w:hAnsi="Arial" w:cs="Arial"/>
          <w:sz w:val="20"/>
          <w:szCs w:val="20"/>
        </w:rPr>
        <w:t>l</w:t>
      </w:r>
      <w:r w:rsidRPr="003E5354">
        <w:rPr>
          <w:rFonts w:ascii="Arial" w:hAnsi="Arial" w:cs="Arial"/>
          <w:sz w:val="20"/>
          <w:szCs w:val="20"/>
        </w:rPr>
        <w:t>e montant de la participation s’élève en moyenne à 18,90 euros par mois et par agent (contre 17,10 euros en 2017)</w:t>
      </w:r>
    </w:p>
    <w:p w:rsidR="004611F4" w:rsidRPr="003E5354" w:rsidRDefault="004611F4" w:rsidP="004611F4">
      <w:pPr>
        <w:spacing w:line="256" w:lineRule="auto"/>
        <w:rPr>
          <w:rFonts w:cs="Arial"/>
        </w:rPr>
      </w:pPr>
    </w:p>
    <w:p w:rsidR="004611F4" w:rsidRPr="003E5354" w:rsidRDefault="004611F4" w:rsidP="004611F4">
      <w:pPr>
        <w:rPr>
          <w:rFonts w:cs="Arial"/>
          <w:b/>
          <w:i/>
        </w:rPr>
      </w:pPr>
      <w:r w:rsidRPr="003E5354">
        <w:rPr>
          <w:rFonts w:cs="Arial"/>
          <w:b/>
          <w:i/>
        </w:rPr>
        <w:t>Pour le risque prévoyance :</w:t>
      </w:r>
    </w:p>
    <w:p w:rsidR="004611F4" w:rsidRPr="003E5354" w:rsidRDefault="004611F4" w:rsidP="004611F4">
      <w:pPr>
        <w:pStyle w:val="Paragraphedeliste"/>
        <w:numPr>
          <w:ilvl w:val="0"/>
          <w:numId w:val="10"/>
        </w:numPr>
        <w:spacing w:line="256" w:lineRule="auto"/>
        <w:ind w:left="993"/>
        <w:jc w:val="both"/>
        <w:rPr>
          <w:rFonts w:ascii="Arial" w:hAnsi="Arial" w:cs="Arial"/>
          <w:sz w:val="20"/>
          <w:szCs w:val="20"/>
        </w:rPr>
      </w:pPr>
      <w:r>
        <w:rPr>
          <w:rFonts w:ascii="Arial" w:hAnsi="Arial" w:cs="Arial"/>
          <w:sz w:val="20"/>
          <w:szCs w:val="20"/>
        </w:rPr>
        <w:t>p</w:t>
      </w:r>
      <w:r w:rsidRPr="003E5354">
        <w:rPr>
          <w:rFonts w:ascii="Arial" w:hAnsi="Arial" w:cs="Arial"/>
          <w:sz w:val="20"/>
          <w:szCs w:val="20"/>
        </w:rPr>
        <w:t>lus des 3/4 des collectivités interrogées participent financièrement à la complémentaire prévoyance</w:t>
      </w:r>
    </w:p>
    <w:p w:rsidR="004611F4" w:rsidRPr="003E5354" w:rsidRDefault="004611F4" w:rsidP="004611F4">
      <w:pPr>
        <w:pStyle w:val="Paragraphedeliste"/>
        <w:spacing w:line="256" w:lineRule="auto"/>
        <w:ind w:left="993"/>
        <w:jc w:val="both"/>
        <w:rPr>
          <w:rFonts w:ascii="Arial" w:hAnsi="Arial" w:cs="Arial"/>
          <w:sz w:val="20"/>
          <w:szCs w:val="20"/>
        </w:rPr>
      </w:pPr>
    </w:p>
    <w:p w:rsidR="004611F4" w:rsidRPr="003E5354" w:rsidRDefault="004611F4" w:rsidP="004611F4">
      <w:pPr>
        <w:pStyle w:val="Paragraphedeliste"/>
        <w:numPr>
          <w:ilvl w:val="1"/>
          <w:numId w:val="10"/>
        </w:numPr>
        <w:spacing w:line="256" w:lineRule="auto"/>
        <w:ind w:left="2268"/>
        <w:jc w:val="both"/>
        <w:rPr>
          <w:rFonts w:ascii="Arial" w:hAnsi="Arial" w:cs="Arial"/>
          <w:sz w:val="20"/>
          <w:szCs w:val="20"/>
        </w:rPr>
      </w:pPr>
      <w:r w:rsidRPr="003E5354">
        <w:rPr>
          <w:rFonts w:ascii="Arial" w:hAnsi="Arial" w:cs="Arial"/>
          <w:sz w:val="20"/>
          <w:szCs w:val="20"/>
        </w:rPr>
        <w:t>62% ont choisi la convention de participation</w:t>
      </w:r>
    </w:p>
    <w:p w:rsidR="004611F4" w:rsidRPr="003E5354" w:rsidRDefault="004611F4" w:rsidP="004611F4">
      <w:pPr>
        <w:pStyle w:val="Paragraphedeliste"/>
        <w:numPr>
          <w:ilvl w:val="1"/>
          <w:numId w:val="10"/>
        </w:numPr>
        <w:spacing w:line="256" w:lineRule="auto"/>
        <w:ind w:left="2268"/>
        <w:jc w:val="both"/>
        <w:rPr>
          <w:rFonts w:ascii="Arial" w:hAnsi="Arial" w:cs="Arial"/>
          <w:sz w:val="20"/>
          <w:szCs w:val="20"/>
        </w:rPr>
      </w:pPr>
      <w:r w:rsidRPr="003E5354">
        <w:rPr>
          <w:rFonts w:ascii="Arial" w:hAnsi="Arial" w:cs="Arial"/>
          <w:sz w:val="20"/>
          <w:szCs w:val="20"/>
        </w:rPr>
        <w:t>37% la labellisation</w:t>
      </w:r>
    </w:p>
    <w:p w:rsidR="004611F4" w:rsidRPr="003E5354" w:rsidRDefault="004611F4" w:rsidP="004611F4">
      <w:pPr>
        <w:pStyle w:val="Paragraphedeliste"/>
        <w:spacing w:line="256" w:lineRule="auto"/>
        <w:ind w:left="2268"/>
        <w:jc w:val="both"/>
        <w:rPr>
          <w:rFonts w:ascii="Arial" w:hAnsi="Arial" w:cs="Arial"/>
          <w:sz w:val="20"/>
          <w:szCs w:val="20"/>
        </w:rPr>
      </w:pPr>
    </w:p>
    <w:p w:rsidR="004611F4" w:rsidRPr="003E5354" w:rsidRDefault="004611F4" w:rsidP="004611F4">
      <w:pPr>
        <w:pStyle w:val="Paragraphedeliste"/>
        <w:numPr>
          <w:ilvl w:val="0"/>
          <w:numId w:val="10"/>
        </w:numPr>
        <w:spacing w:line="256" w:lineRule="auto"/>
        <w:ind w:left="993"/>
        <w:jc w:val="both"/>
        <w:rPr>
          <w:rFonts w:ascii="Arial" w:hAnsi="Arial" w:cs="Arial"/>
          <w:sz w:val="20"/>
          <w:szCs w:val="20"/>
        </w:rPr>
      </w:pPr>
      <w:r>
        <w:rPr>
          <w:rFonts w:ascii="Arial" w:hAnsi="Arial" w:cs="Arial"/>
          <w:sz w:val="20"/>
          <w:szCs w:val="20"/>
        </w:rPr>
        <w:t>l</w:t>
      </w:r>
      <w:r w:rsidRPr="003E5354">
        <w:rPr>
          <w:rFonts w:ascii="Arial" w:hAnsi="Arial" w:cs="Arial"/>
          <w:sz w:val="20"/>
          <w:szCs w:val="20"/>
        </w:rPr>
        <w:t>e montant de la participation s’élève en moyenne à 12,20 euros par mois et par agent (contre 11,40 euros en 2017)</w:t>
      </w:r>
    </w:p>
    <w:p w:rsidR="004611F4" w:rsidRPr="003E5354" w:rsidRDefault="004611F4" w:rsidP="004611F4">
      <w:pPr>
        <w:pStyle w:val="Paragraphedeliste"/>
        <w:spacing w:line="256" w:lineRule="auto"/>
        <w:ind w:left="993"/>
        <w:jc w:val="both"/>
        <w:rPr>
          <w:rFonts w:ascii="Arial" w:hAnsi="Arial" w:cs="Arial"/>
          <w:sz w:val="20"/>
          <w:szCs w:val="20"/>
        </w:rPr>
      </w:pPr>
    </w:p>
    <w:p w:rsidR="004611F4" w:rsidRPr="003E5354" w:rsidRDefault="004611F4" w:rsidP="004611F4">
      <w:pPr>
        <w:rPr>
          <w:rFonts w:cs="Arial"/>
        </w:rPr>
      </w:pPr>
      <w:r>
        <w:rPr>
          <w:rFonts w:cs="Arial"/>
        </w:rPr>
        <w:t>Ce sont donc</w:t>
      </w:r>
      <w:r w:rsidRPr="003E5354">
        <w:rPr>
          <w:rFonts w:cs="Arial"/>
        </w:rPr>
        <w:t xml:space="preserve"> </w:t>
      </w:r>
      <w:r w:rsidRPr="003E5354">
        <w:rPr>
          <w:rFonts w:cs="Arial"/>
          <w:b/>
        </w:rPr>
        <w:t>89% des employeurs publics locaux qui déclarent participer financièrement à la protection sociale complémentaire de leurs agents en santé et/ou en prévoyance</w:t>
      </w:r>
      <w:r w:rsidRPr="003E5354">
        <w:rPr>
          <w:rFonts w:cs="Arial"/>
        </w:rPr>
        <w:t>.</w:t>
      </w:r>
    </w:p>
    <w:p w:rsidR="004611F4" w:rsidRPr="003E5354" w:rsidRDefault="004611F4" w:rsidP="004611F4">
      <w:pPr>
        <w:rPr>
          <w:rFonts w:cs="Arial"/>
        </w:rPr>
      </w:pPr>
      <w:r w:rsidRPr="003E5354">
        <w:rPr>
          <w:rFonts w:cs="Arial"/>
        </w:rPr>
        <w:t>Ils mettent en avant que cette participation financière améliore les conditions de travail et la santé des agents, l’attractivité de la collectivité en tant qu’employeur, le dialogue social et contribue à la motivation des agents.</w:t>
      </w:r>
    </w:p>
    <w:p w:rsidR="004611F4" w:rsidRPr="003E5354" w:rsidRDefault="004611F4" w:rsidP="004611F4">
      <w:pPr>
        <w:rPr>
          <w:rFonts w:cs="Arial"/>
        </w:rPr>
      </w:pPr>
      <w:r w:rsidRPr="003E5354">
        <w:rPr>
          <w:rFonts w:cs="Arial"/>
        </w:rPr>
        <w:t>Cette participation financière doit s’apprécier comme véritable investissement dans le domaine des ressources humaines plus que sous l’angle d’un coût budgétaire supplémentaire.</w:t>
      </w:r>
    </w:p>
    <w:p w:rsidR="004611F4" w:rsidRPr="003E5354" w:rsidRDefault="004611F4" w:rsidP="004611F4">
      <w:pPr>
        <w:rPr>
          <w:rFonts w:cs="Arial"/>
          <w:color w:val="00B050"/>
        </w:rPr>
      </w:pPr>
      <w:r w:rsidRPr="003E5354">
        <w:rPr>
          <w:rFonts w:cs="Arial"/>
        </w:rPr>
        <w:t>Le dispositif des conventions de participation renforce l’attractivité des employeurs et peut permettre de gommer certaines disparités entre petites</w:t>
      </w:r>
      <w:r w:rsidRPr="003E5354">
        <w:rPr>
          <w:rFonts w:cs="Arial"/>
          <w:color w:val="00B050"/>
        </w:rPr>
        <w:t xml:space="preserve"> </w:t>
      </w:r>
      <w:r w:rsidRPr="003E5354">
        <w:rPr>
          <w:rFonts w:cs="Arial"/>
        </w:rPr>
        <w:t>et grandes collectivités.</w:t>
      </w:r>
      <w:r w:rsidRPr="003E5354">
        <w:rPr>
          <w:rFonts w:cs="Arial"/>
          <w:color w:val="00B050"/>
        </w:rPr>
        <w:t xml:space="preserve"> </w:t>
      </w:r>
    </w:p>
    <w:p w:rsidR="004611F4" w:rsidRDefault="004611F4" w:rsidP="004611F4">
      <w:pPr>
        <w:rPr>
          <w:rFonts w:cs="Arial"/>
          <w:b/>
          <w:u w:val="single"/>
        </w:rPr>
      </w:pPr>
    </w:p>
    <w:p w:rsidR="004611F4" w:rsidRPr="007C0868" w:rsidRDefault="004611F4" w:rsidP="004611F4">
      <w:pPr>
        <w:rPr>
          <w:rFonts w:cs="Arial"/>
          <w:b/>
          <w:u w:val="single"/>
        </w:rPr>
      </w:pPr>
      <w:r w:rsidRPr="007C0868">
        <w:rPr>
          <w:rFonts w:cs="Arial"/>
          <w:b/>
          <w:u w:val="single"/>
        </w:rPr>
        <w:t>I</w:t>
      </w:r>
      <w:r>
        <w:rPr>
          <w:rFonts w:cs="Arial"/>
          <w:b/>
          <w:u w:val="single"/>
        </w:rPr>
        <w:t>II</w:t>
      </w:r>
      <w:r w:rsidRPr="007C0868">
        <w:rPr>
          <w:rFonts w:cs="Arial"/>
          <w:b/>
          <w:u w:val="single"/>
        </w:rPr>
        <w:t xml:space="preserve">/ </w:t>
      </w:r>
      <w:r>
        <w:rPr>
          <w:rFonts w:cs="Arial"/>
          <w:b/>
          <w:u w:val="single"/>
        </w:rPr>
        <w:t>L’</w:t>
      </w:r>
      <w:r w:rsidR="00EB6B73">
        <w:rPr>
          <w:rFonts w:cs="Arial"/>
          <w:b/>
          <w:u w:val="single"/>
        </w:rPr>
        <w:t>ordonnance</w:t>
      </w:r>
      <w:r>
        <w:rPr>
          <w:rFonts w:cs="Arial"/>
          <w:b/>
          <w:u w:val="single"/>
        </w:rPr>
        <w:t xml:space="preserve"> </w:t>
      </w:r>
      <w:r w:rsidR="00EB6B73">
        <w:rPr>
          <w:rFonts w:cs="Arial"/>
          <w:b/>
          <w:u w:val="single"/>
        </w:rPr>
        <w:t>n</w:t>
      </w:r>
      <w:r>
        <w:rPr>
          <w:rFonts w:cs="Arial"/>
          <w:b/>
          <w:u w:val="single"/>
        </w:rPr>
        <w:t xml:space="preserve">° 2021-175 </w:t>
      </w:r>
      <w:r w:rsidR="00EB6B73">
        <w:rPr>
          <w:rFonts w:cs="Arial"/>
          <w:b/>
          <w:u w:val="single"/>
        </w:rPr>
        <w:t>du</w:t>
      </w:r>
      <w:r>
        <w:rPr>
          <w:rFonts w:cs="Arial"/>
          <w:b/>
          <w:u w:val="single"/>
        </w:rPr>
        <w:t xml:space="preserve"> 17 </w:t>
      </w:r>
      <w:r w:rsidR="00EB6B73">
        <w:rPr>
          <w:rFonts w:cs="Arial"/>
          <w:b/>
          <w:u w:val="single"/>
        </w:rPr>
        <w:t>février</w:t>
      </w:r>
      <w:r>
        <w:rPr>
          <w:rFonts w:cs="Arial"/>
          <w:b/>
          <w:u w:val="single"/>
        </w:rPr>
        <w:t xml:space="preserve"> 2021</w:t>
      </w:r>
    </w:p>
    <w:p w:rsidR="004611F4" w:rsidRDefault="004611F4" w:rsidP="004611F4">
      <w:pPr>
        <w:rPr>
          <w:rFonts w:cs="Arial"/>
        </w:rPr>
      </w:pPr>
    </w:p>
    <w:p w:rsidR="004611F4" w:rsidRDefault="004611F4" w:rsidP="004611F4">
      <w:pPr>
        <w:rPr>
          <w:rFonts w:cs="Arial"/>
        </w:rPr>
      </w:pPr>
      <w:r w:rsidRPr="005A4E1B">
        <w:rPr>
          <w:rFonts w:cs="Arial"/>
        </w:rPr>
        <w:t>La nouvelle ordonnance n°2021-175 du 17 février 2021</w:t>
      </w:r>
      <w:r w:rsidR="00EB6B73" w:rsidRPr="00EB6B73">
        <w:rPr>
          <w:rFonts w:cs="Arial"/>
        </w:rPr>
        <w:t xml:space="preserve"> </w:t>
      </w:r>
      <w:r w:rsidR="00EB6B73" w:rsidRPr="004D6112">
        <w:rPr>
          <w:rFonts w:cs="Arial"/>
        </w:rPr>
        <w:t>relative à la protection sociale complémentaire dans la fonction publique</w:t>
      </w:r>
      <w:r w:rsidRPr="005A4E1B">
        <w:rPr>
          <w:rFonts w:cs="Arial"/>
        </w:rPr>
        <w:t xml:space="preserve"> qui attend encore</w:t>
      </w:r>
      <w:r>
        <w:rPr>
          <w:rFonts w:cs="Arial"/>
        </w:rPr>
        <w:t xml:space="preserve">, </w:t>
      </w:r>
      <w:r w:rsidRPr="005A4E1B">
        <w:rPr>
          <w:rFonts w:cs="Arial"/>
        </w:rPr>
        <w:t>à ce jour, ses décrets d’application</w:t>
      </w:r>
      <w:r>
        <w:rPr>
          <w:rFonts w:cs="Arial"/>
        </w:rPr>
        <w:t xml:space="preserve"> </w:t>
      </w:r>
      <w:proofErr w:type="gramStart"/>
      <w:r w:rsidRPr="005A4E1B">
        <w:rPr>
          <w:rFonts w:cs="Arial"/>
        </w:rPr>
        <w:t>prévoit</w:t>
      </w:r>
      <w:proofErr w:type="gramEnd"/>
      <w:r w:rsidRPr="005A4E1B">
        <w:rPr>
          <w:rFonts w:cs="Arial"/>
        </w:rPr>
        <w:t xml:space="preserve"> </w:t>
      </w:r>
      <w:r w:rsidRPr="005A4E1B">
        <w:rPr>
          <w:rFonts w:cs="Arial"/>
          <w:b/>
        </w:rPr>
        <w:t>l’obligation pour les employeurs de participer financièrement </w:t>
      </w:r>
      <w:r w:rsidRPr="005A4E1B">
        <w:rPr>
          <w:rFonts w:cs="Arial"/>
        </w:rPr>
        <w:t>:</w:t>
      </w:r>
    </w:p>
    <w:p w:rsidR="004611F4" w:rsidRPr="005A4E1B" w:rsidRDefault="004611F4" w:rsidP="004611F4">
      <w:pPr>
        <w:rPr>
          <w:rFonts w:cs="Arial"/>
        </w:rPr>
      </w:pPr>
    </w:p>
    <w:p w:rsidR="004611F4" w:rsidRPr="005A4E1B" w:rsidRDefault="004611F4" w:rsidP="004611F4">
      <w:pPr>
        <w:pStyle w:val="Paragraphedeliste"/>
        <w:numPr>
          <w:ilvl w:val="0"/>
          <w:numId w:val="10"/>
        </w:numPr>
        <w:ind w:left="1134" w:hanging="283"/>
        <w:jc w:val="both"/>
        <w:rPr>
          <w:rFonts w:ascii="Arial" w:hAnsi="Arial" w:cs="Arial"/>
          <w:sz w:val="20"/>
          <w:szCs w:val="20"/>
        </w:rPr>
      </w:pPr>
      <w:r w:rsidRPr="005A4E1B">
        <w:rPr>
          <w:rFonts w:ascii="Arial" w:hAnsi="Arial" w:cs="Arial"/>
          <w:b/>
          <w:sz w:val="20"/>
          <w:szCs w:val="20"/>
        </w:rPr>
        <w:t xml:space="preserve">aux contrats prévoyance de leurs agents </w:t>
      </w:r>
      <w:r>
        <w:rPr>
          <w:rFonts w:ascii="Arial" w:hAnsi="Arial" w:cs="Arial"/>
          <w:b/>
          <w:sz w:val="20"/>
          <w:szCs w:val="20"/>
        </w:rPr>
        <w:t>au plus tard le</w:t>
      </w:r>
      <w:r w:rsidRPr="005A4E1B">
        <w:rPr>
          <w:rFonts w:ascii="Arial" w:hAnsi="Arial" w:cs="Arial"/>
          <w:b/>
          <w:sz w:val="20"/>
          <w:szCs w:val="20"/>
        </w:rPr>
        <w:t xml:space="preserve"> 1</w:t>
      </w:r>
      <w:r w:rsidRPr="005A4E1B">
        <w:rPr>
          <w:rFonts w:ascii="Arial" w:hAnsi="Arial" w:cs="Arial"/>
          <w:b/>
          <w:sz w:val="20"/>
          <w:szCs w:val="20"/>
          <w:vertAlign w:val="superscript"/>
        </w:rPr>
        <w:t>er</w:t>
      </w:r>
      <w:r w:rsidRPr="005A4E1B">
        <w:rPr>
          <w:rFonts w:ascii="Arial" w:hAnsi="Arial" w:cs="Arial"/>
          <w:b/>
          <w:sz w:val="20"/>
          <w:szCs w:val="20"/>
        </w:rPr>
        <w:t xml:space="preserve"> janvier 2025</w:t>
      </w:r>
      <w:r w:rsidRPr="005A4E1B">
        <w:rPr>
          <w:rFonts w:ascii="Arial" w:hAnsi="Arial" w:cs="Arial"/>
          <w:sz w:val="20"/>
          <w:szCs w:val="20"/>
        </w:rPr>
        <w:t>. Cette participation ne pourra être inférieure à 20% d’un montant de référence qui sera fixé par décret, lequel doit par ailleurs définir les garanties minimales de prévoyance assurées ;</w:t>
      </w:r>
    </w:p>
    <w:p w:rsidR="004611F4" w:rsidRPr="005A4E1B" w:rsidRDefault="004611F4" w:rsidP="004611F4">
      <w:pPr>
        <w:pStyle w:val="Paragraphedeliste"/>
        <w:ind w:left="1134"/>
        <w:jc w:val="both"/>
        <w:rPr>
          <w:rFonts w:ascii="Arial" w:hAnsi="Arial" w:cs="Arial"/>
          <w:sz w:val="20"/>
          <w:szCs w:val="20"/>
        </w:rPr>
      </w:pPr>
    </w:p>
    <w:p w:rsidR="004611F4" w:rsidRPr="004E5C67" w:rsidRDefault="004611F4" w:rsidP="004611F4">
      <w:pPr>
        <w:pStyle w:val="Paragraphedeliste"/>
        <w:numPr>
          <w:ilvl w:val="0"/>
          <w:numId w:val="10"/>
        </w:numPr>
        <w:ind w:left="1134" w:hanging="283"/>
        <w:jc w:val="both"/>
        <w:rPr>
          <w:rFonts w:ascii="Arial" w:hAnsi="Arial" w:cs="Arial"/>
          <w:sz w:val="20"/>
          <w:szCs w:val="20"/>
        </w:rPr>
      </w:pPr>
      <w:r w:rsidRPr="005A4E1B">
        <w:rPr>
          <w:rFonts w:ascii="Arial" w:hAnsi="Arial" w:cs="Arial"/>
          <w:sz w:val="20"/>
          <w:szCs w:val="20"/>
        </w:rPr>
        <w:t xml:space="preserve"> </w:t>
      </w:r>
      <w:r w:rsidRPr="005A4E1B">
        <w:rPr>
          <w:rFonts w:ascii="Arial" w:hAnsi="Arial" w:cs="Arial"/>
          <w:b/>
          <w:sz w:val="20"/>
          <w:szCs w:val="20"/>
        </w:rPr>
        <w:t xml:space="preserve">aux contrats santé de leurs agents </w:t>
      </w:r>
      <w:r>
        <w:rPr>
          <w:rFonts w:ascii="Arial" w:hAnsi="Arial" w:cs="Arial"/>
          <w:b/>
          <w:sz w:val="20"/>
          <w:szCs w:val="20"/>
        </w:rPr>
        <w:t>au plus tard le</w:t>
      </w:r>
      <w:r w:rsidRPr="005A4E1B">
        <w:rPr>
          <w:rFonts w:ascii="Arial" w:hAnsi="Arial" w:cs="Arial"/>
          <w:b/>
          <w:sz w:val="20"/>
          <w:szCs w:val="20"/>
        </w:rPr>
        <w:t xml:space="preserve"> 1</w:t>
      </w:r>
      <w:r w:rsidRPr="005A4E1B">
        <w:rPr>
          <w:rFonts w:ascii="Arial" w:hAnsi="Arial" w:cs="Arial"/>
          <w:b/>
          <w:sz w:val="20"/>
          <w:szCs w:val="20"/>
          <w:vertAlign w:val="superscript"/>
        </w:rPr>
        <w:t>er</w:t>
      </w:r>
      <w:r w:rsidRPr="005A4E1B">
        <w:rPr>
          <w:rFonts w:ascii="Arial" w:hAnsi="Arial" w:cs="Arial"/>
          <w:b/>
          <w:sz w:val="20"/>
          <w:szCs w:val="20"/>
        </w:rPr>
        <w:t xml:space="preserve"> janvier 2026</w:t>
      </w:r>
      <w:r w:rsidRPr="005A4E1B">
        <w:rPr>
          <w:rFonts w:ascii="Arial" w:hAnsi="Arial" w:cs="Arial"/>
          <w:sz w:val="20"/>
          <w:szCs w:val="20"/>
        </w:rPr>
        <w:t>. Cette participation ne pourra être inférieure à 50% d’un montant de référence qui sera fixé par décret, lequel doit par ailleurs fixer le panier de soins minimal.</w:t>
      </w:r>
    </w:p>
    <w:p w:rsidR="004611F4" w:rsidRPr="005A4E1B" w:rsidRDefault="004611F4" w:rsidP="004611F4">
      <w:pPr>
        <w:rPr>
          <w:rFonts w:cs="Arial"/>
        </w:rPr>
      </w:pPr>
      <w:r>
        <w:rPr>
          <w:rFonts w:cs="Arial"/>
        </w:rPr>
        <w:t>De même, l</w:t>
      </w:r>
      <w:r w:rsidRPr="005A4E1B">
        <w:rPr>
          <w:rFonts w:cs="Arial"/>
        </w:rPr>
        <w:t>’ordonnance prévoit l’adoption d’un décret qui viendra notamment préciser :</w:t>
      </w:r>
    </w:p>
    <w:p w:rsidR="004611F4" w:rsidRPr="005A4E1B" w:rsidRDefault="004611F4" w:rsidP="004611F4">
      <w:pPr>
        <w:pStyle w:val="Paragraphedeliste"/>
        <w:numPr>
          <w:ilvl w:val="0"/>
          <w:numId w:val="10"/>
        </w:numPr>
        <w:spacing w:after="0" w:line="240" w:lineRule="auto"/>
        <w:ind w:left="1560" w:hanging="283"/>
        <w:jc w:val="both"/>
        <w:rPr>
          <w:rFonts w:ascii="Arial" w:hAnsi="Arial" w:cs="Arial"/>
          <w:sz w:val="20"/>
          <w:szCs w:val="20"/>
        </w:rPr>
      </w:pPr>
      <w:r>
        <w:rPr>
          <w:rFonts w:ascii="Arial" w:hAnsi="Arial" w:cs="Arial"/>
          <w:sz w:val="20"/>
          <w:szCs w:val="20"/>
        </w:rPr>
        <w:t>l</w:t>
      </w:r>
      <w:r w:rsidRPr="005A4E1B">
        <w:rPr>
          <w:rFonts w:ascii="Arial" w:hAnsi="Arial" w:cs="Arial"/>
          <w:sz w:val="20"/>
          <w:szCs w:val="20"/>
        </w:rPr>
        <w:t>a portabilité des contrats en cas de mobilité ;</w:t>
      </w:r>
    </w:p>
    <w:p w:rsidR="004611F4" w:rsidRPr="005A4E1B" w:rsidRDefault="004611F4" w:rsidP="004611F4">
      <w:pPr>
        <w:pStyle w:val="Paragraphedeliste"/>
        <w:numPr>
          <w:ilvl w:val="0"/>
          <w:numId w:val="10"/>
        </w:numPr>
        <w:spacing w:after="0" w:line="240" w:lineRule="auto"/>
        <w:ind w:left="1560" w:hanging="283"/>
        <w:jc w:val="both"/>
        <w:rPr>
          <w:rFonts w:ascii="Arial" w:hAnsi="Arial" w:cs="Arial"/>
          <w:sz w:val="20"/>
          <w:szCs w:val="20"/>
        </w:rPr>
      </w:pPr>
      <w:r>
        <w:rPr>
          <w:rFonts w:ascii="Arial" w:hAnsi="Arial" w:cs="Arial"/>
          <w:sz w:val="20"/>
          <w:szCs w:val="20"/>
        </w:rPr>
        <w:t>l</w:t>
      </w:r>
      <w:r w:rsidRPr="005A4E1B">
        <w:rPr>
          <w:rFonts w:ascii="Arial" w:hAnsi="Arial" w:cs="Arial"/>
          <w:sz w:val="20"/>
          <w:szCs w:val="20"/>
        </w:rPr>
        <w:t>e public éligible</w:t>
      </w:r>
      <w:r>
        <w:rPr>
          <w:rFonts w:ascii="Arial" w:hAnsi="Arial" w:cs="Arial"/>
          <w:sz w:val="20"/>
          <w:szCs w:val="20"/>
        </w:rPr>
        <w:t> ;</w:t>
      </w:r>
    </w:p>
    <w:p w:rsidR="004611F4" w:rsidRPr="005A4E1B" w:rsidRDefault="004611F4" w:rsidP="004611F4">
      <w:pPr>
        <w:pStyle w:val="Paragraphedeliste"/>
        <w:numPr>
          <w:ilvl w:val="0"/>
          <w:numId w:val="10"/>
        </w:numPr>
        <w:spacing w:after="0" w:line="240" w:lineRule="auto"/>
        <w:ind w:left="1560" w:hanging="283"/>
        <w:jc w:val="both"/>
        <w:rPr>
          <w:rFonts w:ascii="Arial" w:hAnsi="Arial" w:cs="Arial"/>
          <w:sz w:val="20"/>
          <w:szCs w:val="20"/>
        </w:rPr>
      </w:pPr>
      <w:r>
        <w:rPr>
          <w:rFonts w:ascii="Arial" w:hAnsi="Arial" w:cs="Arial"/>
          <w:sz w:val="20"/>
          <w:szCs w:val="20"/>
        </w:rPr>
        <w:t>l</w:t>
      </w:r>
      <w:r w:rsidRPr="005A4E1B">
        <w:rPr>
          <w:rFonts w:ascii="Arial" w:hAnsi="Arial" w:cs="Arial"/>
          <w:sz w:val="20"/>
          <w:szCs w:val="20"/>
        </w:rPr>
        <w:t>es critères de solidarité intergénérationnelle exigibles lors des consultations ;</w:t>
      </w:r>
    </w:p>
    <w:p w:rsidR="004611F4" w:rsidRPr="005A4E1B" w:rsidRDefault="004611F4" w:rsidP="004611F4">
      <w:pPr>
        <w:pStyle w:val="Paragraphedeliste"/>
        <w:numPr>
          <w:ilvl w:val="0"/>
          <w:numId w:val="10"/>
        </w:numPr>
        <w:spacing w:after="0" w:line="240" w:lineRule="auto"/>
        <w:ind w:left="1560" w:hanging="283"/>
        <w:jc w:val="both"/>
        <w:rPr>
          <w:rFonts w:ascii="Arial" w:hAnsi="Arial" w:cs="Arial"/>
          <w:sz w:val="20"/>
          <w:szCs w:val="20"/>
        </w:rPr>
      </w:pPr>
      <w:r>
        <w:rPr>
          <w:rFonts w:ascii="Arial" w:hAnsi="Arial" w:cs="Arial"/>
          <w:sz w:val="20"/>
          <w:szCs w:val="20"/>
        </w:rPr>
        <w:t>l</w:t>
      </w:r>
      <w:r w:rsidRPr="005A4E1B">
        <w:rPr>
          <w:rFonts w:ascii="Arial" w:hAnsi="Arial" w:cs="Arial"/>
          <w:sz w:val="20"/>
          <w:szCs w:val="20"/>
        </w:rPr>
        <w:t>a situation des agents retraités ;</w:t>
      </w:r>
    </w:p>
    <w:p w:rsidR="004611F4" w:rsidRPr="005A4E1B" w:rsidRDefault="004611F4" w:rsidP="004611F4">
      <w:pPr>
        <w:pStyle w:val="Paragraphedeliste"/>
        <w:numPr>
          <w:ilvl w:val="0"/>
          <w:numId w:val="10"/>
        </w:numPr>
        <w:spacing w:after="0" w:line="240" w:lineRule="auto"/>
        <w:ind w:left="1560" w:hanging="283"/>
        <w:jc w:val="both"/>
        <w:rPr>
          <w:rFonts w:ascii="Arial" w:hAnsi="Arial" w:cs="Arial"/>
          <w:sz w:val="20"/>
          <w:szCs w:val="20"/>
        </w:rPr>
      </w:pPr>
      <w:r>
        <w:rPr>
          <w:rFonts w:ascii="Arial" w:hAnsi="Arial" w:cs="Arial"/>
          <w:sz w:val="20"/>
          <w:szCs w:val="20"/>
        </w:rPr>
        <w:t>l</w:t>
      </w:r>
      <w:r w:rsidRPr="005A4E1B">
        <w:rPr>
          <w:rFonts w:ascii="Arial" w:hAnsi="Arial" w:cs="Arial"/>
          <w:sz w:val="20"/>
          <w:szCs w:val="20"/>
        </w:rPr>
        <w:t>a situation des agents multi-employeurs ;</w:t>
      </w:r>
    </w:p>
    <w:p w:rsidR="004611F4" w:rsidRPr="005A4E1B" w:rsidRDefault="004611F4" w:rsidP="004611F4">
      <w:pPr>
        <w:pStyle w:val="Paragraphedeliste"/>
        <w:numPr>
          <w:ilvl w:val="0"/>
          <w:numId w:val="10"/>
        </w:numPr>
        <w:spacing w:after="0" w:line="240" w:lineRule="auto"/>
        <w:ind w:left="1560" w:hanging="283"/>
        <w:jc w:val="both"/>
        <w:rPr>
          <w:rFonts w:ascii="Arial" w:hAnsi="Arial" w:cs="Arial"/>
          <w:sz w:val="20"/>
          <w:szCs w:val="20"/>
        </w:rPr>
      </w:pPr>
      <w:r>
        <w:rPr>
          <w:rFonts w:ascii="Arial" w:hAnsi="Arial" w:cs="Arial"/>
          <w:sz w:val="20"/>
          <w:szCs w:val="20"/>
        </w:rPr>
        <w:t>l</w:t>
      </w:r>
      <w:r w:rsidRPr="005A4E1B">
        <w:rPr>
          <w:rFonts w:ascii="Arial" w:hAnsi="Arial" w:cs="Arial"/>
          <w:sz w:val="20"/>
          <w:szCs w:val="20"/>
        </w:rPr>
        <w:t>a fiscalité applicable (agent, employeur) ;</w:t>
      </w:r>
    </w:p>
    <w:p w:rsidR="004611F4" w:rsidRDefault="004611F4" w:rsidP="00EB6B73">
      <w:pPr>
        <w:pStyle w:val="Paragraphedeliste"/>
        <w:numPr>
          <w:ilvl w:val="0"/>
          <w:numId w:val="10"/>
        </w:numPr>
        <w:spacing w:after="0" w:line="240" w:lineRule="auto"/>
        <w:ind w:left="1560" w:hanging="283"/>
        <w:jc w:val="both"/>
        <w:rPr>
          <w:rFonts w:ascii="Arial" w:hAnsi="Arial" w:cs="Arial"/>
          <w:sz w:val="20"/>
          <w:szCs w:val="20"/>
        </w:rPr>
      </w:pPr>
      <w:r w:rsidRPr="005A4E1B">
        <w:rPr>
          <w:rFonts w:ascii="Arial" w:hAnsi="Arial" w:cs="Arial"/>
          <w:sz w:val="20"/>
          <w:szCs w:val="20"/>
        </w:rPr>
        <w:t>…</w:t>
      </w:r>
    </w:p>
    <w:p w:rsidR="00EB6B73" w:rsidRPr="00EB6B73" w:rsidRDefault="00EB6B73" w:rsidP="00EB6B73">
      <w:pPr>
        <w:pStyle w:val="Paragraphedeliste"/>
        <w:spacing w:after="0" w:line="240" w:lineRule="auto"/>
        <w:ind w:left="1560"/>
        <w:jc w:val="both"/>
        <w:rPr>
          <w:rFonts w:ascii="Arial" w:hAnsi="Arial" w:cs="Arial"/>
          <w:sz w:val="20"/>
          <w:szCs w:val="20"/>
        </w:rPr>
      </w:pPr>
    </w:p>
    <w:p w:rsidR="004611F4" w:rsidRPr="00C93A85" w:rsidRDefault="004611F4" w:rsidP="004611F4">
      <w:pPr>
        <w:rPr>
          <w:rFonts w:cs="Arial"/>
        </w:rPr>
      </w:pPr>
      <w:r>
        <w:rPr>
          <w:rFonts w:cs="Arial"/>
        </w:rPr>
        <w:t>Dans</w:t>
      </w:r>
      <w:r w:rsidRPr="00C93A85">
        <w:rPr>
          <w:rFonts w:cs="Arial"/>
        </w:rPr>
        <w:t xml:space="preserve"> la perspective de ces deux échéances, la réforme prévoit que </w:t>
      </w:r>
      <w:r w:rsidRPr="009034FB">
        <w:rPr>
          <w:rFonts w:cs="Arial"/>
          <w:b/>
        </w:rPr>
        <w:t>les collectivités et leurs établissements organisent </w:t>
      </w:r>
      <w:r w:rsidRPr="00C93A85">
        <w:rPr>
          <w:rFonts w:cs="Arial"/>
        </w:rPr>
        <w:t>:</w:t>
      </w:r>
    </w:p>
    <w:p w:rsidR="004611F4" w:rsidRPr="00C93A85" w:rsidRDefault="004611F4" w:rsidP="004611F4">
      <w:pPr>
        <w:rPr>
          <w:rFonts w:cs="Arial"/>
          <w:b/>
        </w:rPr>
      </w:pPr>
    </w:p>
    <w:p w:rsidR="004611F4" w:rsidRPr="00C93A85" w:rsidRDefault="004611F4" w:rsidP="004611F4">
      <w:pPr>
        <w:pStyle w:val="Paragraphedeliste"/>
        <w:numPr>
          <w:ilvl w:val="0"/>
          <w:numId w:val="10"/>
        </w:numPr>
        <w:spacing w:after="0" w:line="240" w:lineRule="auto"/>
        <w:ind w:left="1560"/>
        <w:jc w:val="both"/>
        <w:rPr>
          <w:rFonts w:ascii="Arial" w:hAnsi="Arial" w:cs="Arial"/>
          <w:b/>
          <w:sz w:val="20"/>
          <w:szCs w:val="20"/>
        </w:rPr>
      </w:pPr>
      <w:r w:rsidRPr="00C93A85">
        <w:rPr>
          <w:rFonts w:ascii="Arial" w:hAnsi="Arial" w:cs="Arial"/>
          <w:b/>
          <w:sz w:val="20"/>
          <w:szCs w:val="20"/>
        </w:rPr>
        <w:t>au plus tard le 18 février 2022 ;</w:t>
      </w:r>
    </w:p>
    <w:p w:rsidR="004611F4" w:rsidRPr="00C93A85" w:rsidRDefault="004611F4" w:rsidP="004611F4">
      <w:pPr>
        <w:pStyle w:val="Paragraphedeliste"/>
        <w:spacing w:after="0" w:line="240" w:lineRule="auto"/>
        <w:ind w:left="1560"/>
        <w:jc w:val="both"/>
        <w:rPr>
          <w:rFonts w:ascii="Arial" w:hAnsi="Arial" w:cs="Arial"/>
          <w:b/>
          <w:sz w:val="20"/>
          <w:szCs w:val="20"/>
        </w:rPr>
      </w:pPr>
    </w:p>
    <w:p w:rsidR="004611F4" w:rsidRDefault="004611F4" w:rsidP="004611F4">
      <w:pPr>
        <w:pStyle w:val="Paragraphedeliste"/>
        <w:numPr>
          <w:ilvl w:val="0"/>
          <w:numId w:val="10"/>
        </w:numPr>
        <w:spacing w:after="0" w:line="240" w:lineRule="auto"/>
        <w:ind w:left="1560"/>
        <w:jc w:val="both"/>
        <w:rPr>
          <w:rFonts w:ascii="Arial" w:hAnsi="Arial" w:cs="Arial"/>
          <w:b/>
          <w:sz w:val="20"/>
          <w:szCs w:val="20"/>
        </w:rPr>
      </w:pPr>
      <w:r w:rsidRPr="00C93A85">
        <w:rPr>
          <w:rFonts w:ascii="Arial" w:hAnsi="Arial" w:cs="Arial"/>
          <w:b/>
          <w:sz w:val="20"/>
          <w:szCs w:val="20"/>
        </w:rPr>
        <w:t>dans les 6 mois à compter de chaque renouvellement de mandat ;</w:t>
      </w:r>
    </w:p>
    <w:p w:rsidR="004611F4" w:rsidRPr="007D54E6" w:rsidRDefault="004611F4" w:rsidP="004611F4">
      <w:pPr>
        <w:rPr>
          <w:rFonts w:cs="Arial"/>
          <w:b/>
        </w:rPr>
      </w:pPr>
    </w:p>
    <w:p w:rsidR="004611F4" w:rsidRPr="00C93A85" w:rsidRDefault="004611F4" w:rsidP="004611F4">
      <w:pPr>
        <w:rPr>
          <w:rFonts w:cs="Arial"/>
        </w:rPr>
      </w:pPr>
      <w:proofErr w:type="gramStart"/>
      <w:r w:rsidRPr="009034FB">
        <w:rPr>
          <w:rFonts w:cs="Arial"/>
          <w:b/>
        </w:rPr>
        <w:t>un</w:t>
      </w:r>
      <w:proofErr w:type="gramEnd"/>
      <w:r w:rsidRPr="009034FB">
        <w:rPr>
          <w:rFonts w:cs="Arial"/>
          <w:b/>
        </w:rPr>
        <w:t xml:space="preserve"> débat sur la protection sociale complémentaire</w:t>
      </w:r>
      <w:r w:rsidRPr="00C93A85">
        <w:rPr>
          <w:rFonts w:cs="Arial"/>
        </w:rPr>
        <w:t xml:space="preserve"> de leurs agents au sein de leur assemblée délibérante.</w:t>
      </w:r>
    </w:p>
    <w:p w:rsidR="004611F4" w:rsidRPr="00C93A85" w:rsidRDefault="004611F4" w:rsidP="004611F4">
      <w:pPr>
        <w:rPr>
          <w:rFonts w:cs="Arial"/>
        </w:rPr>
      </w:pPr>
      <w:r w:rsidRPr="00C93A85">
        <w:rPr>
          <w:rFonts w:cs="Arial"/>
        </w:rPr>
        <w:t>Il s’agit d’un débat sans vote, qui doit informer sur les enjeux, les objectifs et les moyens à déployer pour répondre à l’obligation de participation.</w:t>
      </w:r>
    </w:p>
    <w:p w:rsidR="004611F4" w:rsidRPr="00C93A85" w:rsidRDefault="004611F4" w:rsidP="004611F4">
      <w:pPr>
        <w:rPr>
          <w:rFonts w:cs="Arial"/>
        </w:rPr>
      </w:pPr>
    </w:p>
    <w:p w:rsidR="00EB6B73" w:rsidRDefault="00EB6B73" w:rsidP="004611F4">
      <w:pPr>
        <w:rPr>
          <w:rFonts w:cs="Arial"/>
        </w:rPr>
      </w:pPr>
    </w:p>
    <w:p w:rsidR="00EB6B73" w:rsidRDefault="00EB6B73" w:rsidP="004611F4">
      <w:pPr>
        <w:rPr>
          <w:rFonts w:cs="Arial"/>
        </w:rPr>
      </w:pPr>
    </w:p>
    <w:p w:rsidR="004611F4" w:rsidRPr="00EB6B73" w:rsidRDefault="004611F4" w:rsidP="004611F4">
      <w:pPr>
        <w:rPr>
          <w:rFonts w:cs="Arial"/>
        </w:rPr>
      </w:pPr>
      <w:r w:rsidRPr="00C93A85">
        <w:rPr>
          <w:rFonts w:cs="Arial"/>
        </w:rPr>
        <w:t>L’ordonnance ne prévoit pas de contenu. Chaque employeur public territorial est libre de le préparer selon son propre contexte.</w:t>
      </w:r>
    </w:p>
    <w:p w:rsidR="004611F4" w:rsidRPr="00EB6B73" w:rsidRDefault="004611F4" w:rsidP="00EB6B73">
      <w:pPr>
        <w:rPr>
          <w:rFonts w:cs="Arial"/>
        </w:rPr>
      </w:pPr>
      <w:r w:rsidRPr="00C93A85">
        <w:rPr>
          <w:rFonts w:cs="Arial"/>
        </w:rPr>
        <w:t>Des points clés peuvent être présentés comme :</w:t>
      </w:r>
    </w:p>
    <w:p w:rsidR="004611F4" w:rsidRPr="00C93A85" w:rsidRDefault="004611F4" w:rsidP="004611F4">
      <w:pPr>
        <w:pStyle w:val="Paragraphedeliste"/>
        <w:numPr>
          <w:ilvl w:val="0"/>
          <w:numId w:val="10"/>
        </w:numPr>
        <w:spacing w:line="256" w:lineRule="auto"/>
        <w:ind w:left="1560" w:hanging="284"/>
        <w:rPr>
          <w:rFonts w:ascii="Arial" w:hAnsi="Arial" w:cs="Arial"/>
          <w:sz w:val="20"/>
          <w:szCs w:val="20"/>
        </w:rPr>
      </w:pPr>
      <w:r>
        <w:rPr>
          <w:rFonts w:ascii="Arial" w:hAnsi="Arial" w:cs="Arial"/>
          <w:sz w:val="20"/>
          <w:szCs w:val="20"/>
        </w:rPr>
        <w:t>l</w:t>
      </w:r>
      <w:r w:rsidRPr="00C93A85">
        <w:rPr>
          <w:rFonts w:ascii="Arial" w:hAnsi="Arial" w:cs="Arial"/>
          <w:sz w:val="20"/>
          <w:szCs w:val="20"/>
        </w:rPr>
        <w:t>es enjeux de la protection sociale complémentaire (accompagnement social, arbitrages financiers, articulation avec les politiques de prévention, attractivité …) ;</w:t>
      </w:r>
    </w:p>
    <w:p w:rsidR="004611F4" w:rsidRPr="00C93A85" w:rsidRDefault="004611F4" w:rsidP="004611F4">
      <w:pPr>
        <w:pStyle w:val="Paragraphedeliste"/>
        <w:numPr>
          <w:ilvl w:val="0"/>
          <w:numId w:val="10"/>
        </w:numPr>
        <w:spacing w:line="256" w:lineRule="auto"/>
        <w:ind w:left="1560" w:hanging="284"/>
        <w:rPr>
          <w:rFonts w:ascii="Arial" w:hAnsi="Arial" w:cs="Arial"/>
          <w:sz w:val="20"/>
          <w:szCs w:val="20"/>
        </w:rPr>
      </w:pPr>
      <w:r>
        <w:rPr>
          <w:rFonts w:ascii="Arial" w:hAnsi="Arial" w:cs="Arial"/>
          <w:sz w:val="20"/>
          <w:szCs w:val="20"/>
        </w:rPr>
        <w:t>l</w:t>
      </w:r>
      <w:r w:rsidRPr="00C93A85">
        <w:rPr>
          <w:rFonts w:ascii="Arial" w:hAnsi="Arial" w:cs="Arial"/>
          <w:sz w:val="20"/>
          <w:szCs w:val="20"/>
        </w:rPr>
        <w:t>a compréhension des risques ;</w:t>
      </w:r>
    </w:p>
    <w:p w:rsidR="004611F4" w:rsidRPr="00C93A85" w:rsidRDefault="004611F4" w:rsidP="004611F4">
      <w:pPr>
        <w:pStyle w:val="Paragraphedeliste"/>
        <w:numPr>
          <w:ilvl w:val="0"/>
          <w:numId w:val="10"/>
        </w:numPr>
        <w:spacing w:line="256" w:lineRule="auto"/>
        <w:ind w:left="1560" w:hanging="284"/>
        <w:rPr>
          <w:rFonts w:ascii="Arial" w:hAnsi="Arial" w:cs="Arial"/>
          <w:sz w:val="20"/>
          <w:szCs w:val="20"/>
        </w:rPr>
      </w:pPr>
      <w:r>
        <w:rPr>
          <w:rFonts w:ascii="Arial" w:hAnsi="Arial" w:cs="Arial"/>
          <w:sz w:val="20"/>
          <w:szCs w:val="20"/>
        </w:rPr>
        <w:t>l</w:t>
      </w:r>
      <w:r w:rsidRPr="00C93A85">
        <w:rPr>
          <w:rFonts w:ascii="Arial" w:hAnsi="Arial" w:cs="Arial"/>
          <w:sz w:val="20"/>
          <w:szCs w:val="20"/>
        </w:rPr>
        <w:t>e rappel de la protection sociale statutaire ;</w:t>
      </w:r>
    </w:p>
    <w:p w:rsidR="004611F4" w:rsidRPr="00C93A85" w:rsidRDefault="004611F4" w:rsidP="004611F4">
      <w:pPr>
        <w:pStyle w:val="Paragraphedeliste"/>
        <w:numPr>
          <w:ilvl w:val="0"/>
          <w:numId w:val="10"/>
        </w:numPr>
        <w:spacing w:line="256" w:lineRule="auto"/>
        <w:ind w:left="1560" w:hanging="284"/>
        <w:rPr>
          <w:rFonts w:ascii="Arial" w:hAnsi="Arial" w:cs="Arial"/>
          <w:sz w:val="20"/>
          <w:szCs w:val="20"/>
        </w:rPr>
      </w:pPr>
      <w:r>
        <w:rPr>
          <w:rFonts w:ascii="Arial" w:hAnsi="Arial" w:cs="Arial"/>
          <w:sz w:val="20"/>
          <w:szCs w:val="20"/>
        </w:rPr>
        <w:t>l</w:t>
      </w:r>
      <w:r w:rsidRPr="00C93A85">
        <w:rPr>
          <w:rFonts w:ascii="Arial" w:hAnsi="Arial" w:cs="Arial"/>
          <w:sz w:val="20"/>
          <w:szCs w:val="20"/>
        </w:rPr>
        <w:t>a nature des garanties envisagées ;</w:t>
      </w:r>
    </w:p>
    <w:p w:rsidR="004611F4" w:rsidRPr="00C93A85" w:rsidRDefault="004611F4" w:rsidP="004611F4">
      <w:pPr>
        <w:pStyle w:val="Paragraphedeliste"/>
        <w:numPr>
          <w:ilvl w:val="0"/>
          <w:numId w:val="10"/>
        </w:numPr>
        <w:spacing w:line="256" w:lineRule="auto"/>
        <w:ind w:left="1560" w:hanging="284"/>
        <w:rPr>
          <w:rFonts w:ascii="Arial" w:hAnsi="Arial" w:cs="Arial"/>
          <w:sz w:val="20"/>
          <w:szCs w:val="20"/>
        </w:rPr>
      </w:pPr>
      <w:r>
        <w:rPr>
          <w:rFonts w:ascii="Arial" w:hAnsi="Arial" w:cs="Arial"/>
          <w:sz w:val="20"/>
          <w:szCs w:val="20"/>
        </w:rPr>
        <w:t>l</w:t>
      </w:r>
      <w:r w:rsidRPr="00C93A85">
        <w:rPr>
          <w:rFonts w:ascii="Arial" w:hAnsi="Arial" w:cs="Arial"/>
          <w:sz w:val="20"/>
          <w:szCs w:val="20"/>
        </w:rPr>
        <w:t>e niveau de participation et sa trajectoire ;</w:t>
      </w:r>
    </w:p>
    <w:p w:rsidR="004611F4" w:rsidRPr="00C93A85" w:rsidRDefault="004611F4" w:rsidP="004611F4">
      <w:pPr>
        <w:pStyle w:val="Paragraphedeliste"/>
        <w:numPr>
          <w:ilvl w:val="0"/>
          <w:numId w:val="10"/>
        </w:numPr>
        <w:spacing w:line="256" w:lineRule="auto"/>
        <w:ind w:left="1560" w:hanging="284"/>
        <w:rPr>
          <w:rFonts w:ascii="Arial" w:hAnsi="Arial" w:cs="Arial"/>
          <w:sz w:val="20"/>
          <w:szCs w:val="20"/>
        </w:rPr>
      </w:pPr>
      <w:r>
        <w:rPr>
          <w:rFonts w:ascii="Arial" w:hAnsi="Arial" w:cs="Arial"/>
          <w:sz w:val="20"/>
          <w:szCs w:val="20"/>
        </w:rPr>
        <w:t>l</w:t>
      </w:r>
      <w:r w:rsidRPr="00C93A85">
        <w:rPr>
          <w:rFonts w:ascii="Arial" w:hAnsi="Arial" w:cs="Arial"/>
          <w:sz w:val="20"/>
          <w:szCs w:val="20"/>
        </w:rPr>
        <w:t>’éventuel caractère obligatoire des contrats, dans le cas d’un accord majoritaire ;</w:t>
      </w:r>
    </w:p>
    <w:p w:rsidR="004611F4" w:rsidRPr="00C93A85" w:rsidRDefault="004611F4" w:rsidP="004611F4">
      <w:pPr>
        <w:pStyle w:val="Paragraphedeliste"/>
        <w:numPr>
          <w:ilvl w:val="0"/>
          <w:numId w:val="10"/>
        </w:numPr>
        <w:spacing w:line="256" w:lineRule="auto"/>
        <w:ind w:left="1560" w:hanging="284"/>
        <w:rPr>
          <w:rFonts w:ascii="Arial" w:hAnsi="Arial" w:cs="Arial"/>
          <w:sz w:val="20"/>
          <w:szCs w:val="20"/>
        </w:rPr>
      </w:pPr>
      <w:r>
        <w:rPr>
          <w:rFonts w:ascii="Arial" w:hAnsi="Arial" w:cs="Arial"/>
          <w:sz w:val="20"/>
          <w:szCs w:val="20"/>
        </w:rPr>
        <w:t>l</w:t>
      </w:r>
      <w:r w:rsidRPr="00C93A85">
        <w:rPr>
          <w:rFonts w:ascii="Arial" w:hAnsi="Arial" w:cs="Arial"/>
          <w:sz w:val="20"/>
          <w:szCs w:val="20"/>
        </w:rPr>
        <w:t>e calendrier de mise en œuvre.</w:t>
      </w:r>
    </w:p>
    <w:p w:rsidR="004611F4" w:rsidRPr="00C93A85" w:rsidRDefault="004611F4" w:rsidP="004611F4">
      <w:pPr>
        <w:rPr>
          <w:rFonts w:cs="Arial"/>
        </w:rPr>
      </w:pPr>
      <w:r w:rsidRPr="00C93A85">
        <w:rPr>
          <w:rFonts w:cs="Arial"/>
        </w:rPr>
        <w:t>Ce débat s’appuiera sur les dispositions de l’ordonnance n°2021-174 du 17 février 2021 relative à la négociation et aux accords collectifs dans la fonction publique qui prévoient que les organisations syndicales peuvent conclure et signer des accords portant sur différents domaines de la gestion des ressources humaines et notamment de la protection sociale complémentaire.</w:t>
      </w:r>
    </w:p>
    <w:p w:rsidR="004611F4" w:rsidRDefault="004611F4" w:rsidP="004611F4">
      <w:pPr>
        <w:rPr>
          <w:rFonts w:cs="Arial"/>
          <w:b/>
          <w:u w:val="single"/>
        </w:rPr>
      </w:pPr>
    </w:p>
    <w:p w:rsidR="004611F4" w:rsidRPr="007C0868" w:rsidRDefault="004611F4" w:rsidP="004611F4">
      <w:pPr>
        <w:rPr>
          <w:rFonts w:cs="Arial"/>
          <w:b/>
          <w:u w:val="single"/>
        </w:rPr>
      </w:pPr>
      <w:r w:rsidRPr="007C0868">
        <w:rPr>
          <w:rFonts w:cs="Arial"/>
          <w:b/>
          <w:u w:val="single"/>
        </w:rPr>
        <w:t>I</w:t>
      </w:r>
      <w:r>
        <w:rPr>
          <w:rFonts w:cs="Arial"/>
          <w:b/>
          <w:u w:val="single"/>
        </w:rPr>
        <w:t>V</w:t>
      </w:r>
      <w:r w:rsidRPr="007C0868">
        <w:rPr>
          <w:rFonts w:cs="Arial"/>
          <w:b/>
          <w:u w:val="single"/>
        </w:rPr>
        <w:t xml:space="preserve">/ </w:t>
      </w:r>
      <w:r w:rsidR="00EB6B73">
        <w:rPr>
          <w:rFonts w:cs="Arial"/>
          <w:b/>
          <w:u w:val="single"/>
        </w:rPr>
        <w:t>Le rôle des centres de gestion</w:t>
      </w:r>
    </w:p>
    <w:p w:rsidR="004611F4" w:rsidRDefault="004611F4" w:rsidP="004611F4">
      <w:pPr>
        <w:rPr>
          <w:rFonts w:cs="Arial"/>
        </w:rPr>
      </w:pPr>
    </w:p>
    <w:p w:rsidR="004611F4" w:rsidRDefault="004611F4" w:rsidP="004611F4">
      <w:pPr>
        <w:rPr>
          <w:rFonts w:cs="Arial"/>
        </w:rPr>
      </w:pPr>
      <w:r>
        <w:rPr>
          <w:rFonts w:cs="Arial"/>
        </w:rPr>
        <w:t>Les centres de gestion se voient confier une compétence en matière de protection sociale complémentaire (article 25-1 de la loi n°84-53 du 26 janvier 1984).</w:t>
      </w:r>
    </w:p>
    <w:p w:rsidR="004611F4" w:rsidRDefault="004611F4" w:rsidP="004611F4">
      <w:pPr>
        <w:rPr>
          <w:rFonts w:cs="Arial"/>
        </w:rPr>
      </w:pPr>
      <w:r>
        <w:rPr>
          <w:rFonts w:cs="Arial"/>
        </w:rPr>
        <w:t>Ils concluent, pour le compte des collectivités territoriales et de leurs établissements publics, des conventions de participation.</w:t>
      </w:r>
    </w:p>
    <w:p w:rsidR="004611F4" w:rsidRDefault="004611F4" w:rsidP="004611F4">
      <w:pPr>
        <w:rPr>
          <w:rFonts w:cs="Arial"/>
        </w:rPr>
      </w:pPr>
      <w:r>
        <w:rPr>
          <w:rFonts w:cs="Arial"/>
        </w:rPr>
        <w:t>Ces conventions peuvent être conclues à un niveau régional ou interrégional selon les modalités inscrites au sein du schéma régional ou interrégional de coordination, de mutualisation et de spécialisation.</w:t>
      </w:r>
    </w:p>
    <w:p w:rsidR="004611F4" w:rsidRDefault="004611F4" w:rsidP="004611F4">
      <w:pPr>
        <w:rPr>
          <w:rFonts w:cs="Arial"/>
        </w:rPr>
      </w:pPr>
      <w:r>
        <w:rPr>
          <w:rFonts w:cs="Arial"/>
        </w:rPr>
        <w:t>Les collectivités et établissements publics peuvent adhérer aux conventions de participation pour un ou plusieurs risques que ces conventions sont destinées à couvrir, après signature d’un accord avec le centre de gestion de leur ressort.</w:t>
      </w:r>
    </w:p>
    <w:p w:rsidR="004E15D4" w:rsidRDefault="004E15D4" w:rsidP="004611F4">
      <w:pPr>
        <w:rPr>
          <w:rFonts w:cs="Arial"/>
          <w:b/>
          <w:i/>
        </w:rPr>
      </w:pPr>
    </w:p>
    <w:p w:rsidR="004E15D4" w:rsidRPr="004E15D4" w:rsidRDefault="004E15D4" w:rsidP="004611F4">
      <w:pPr>
        <w:rPr>
          <w:rFonts w:cs="Arial"/>
          <w:b/>
          <w:i/>
          <w:u w:val="single"/>
        </w:rPr>
      </w:pPr>
      <w:r w:rsidRPr="004E15D4">
        <w:rPr>
          <w:rFonts w:cs="Arial"/>
          <w:b/>
          <w:i/>
        </w:rPr>
        <w:t>Au cas particulier du Centre Départemental de Gestion de la Fonction Publique Territoriale de Loir-et-Cher</w:t>
      </w:r>
    </w:p>
    <w:p w:rsidR="004611F4" w:rsidRPr="00D76FEC" w:rsidRDefault="004611F4" w:rsidP="004611F4">
      <w:pPr>
        <w:rPr>
          <w:rFonts w:cs="Arial"/>
        </w:rPr>
      </w:pPr>
      <w:r w:rsidRPr="00D76FEC">
        <w:rPr>
          <w:rFonts w:cs="Arial"/>
        </w:rPr>
        <w:t>C’est dans ce contexte</w:t>
      </w:r>
      <w:r>
        <w:rPr>
          <w:rFonts w:cs="Arial"/>
        </w:rPr>
        <w:t xml:space="preserve"> que quatre centres de gestion</w:t>
      </w:r>
      <w:r w:rsidR="004E15D4">
        <w:rPr>
          <w:rFonts w:cs="Arial"/>
        </w:rPr>
        <w:t xml:space="preserve"> (</w:t>
      </w:r>
      <w:r w:rsidR="004E15D4" w:rsidRPr="004E15D4">
        <w:rPr>
          <w:rFonts w:cs="Arial"/>
          <w:i/>
        </w:rPr>
        <w:t>Cher, Eure-et-Loir, Indre et Loir-et-Cher</w:t>
      </w:r>
      <w:r w:rsidR="004E15D4">
        <w:rPr>
          <w:rFonts w:cs="Arial"/>
        </w:rPr>
        <w:t>) de la région Centre-Val de Loire</w:t>
      </w:r>
      <w:r>
        <w:rPr>
          <w:rFonts w:cs="Arial"/>
        </w:rPr>
        <w:t xml:space="preserve"> ont décidé de mutualiser leurs actions et leurs procédures pour la mise en œuvre, à compter du 1</w:t>
      </w:r>
      <w:r w:rsidRPr="0018600D">
        <w:rPr>
          <w:rFonts w:cs="Arial"/>
          <w:vertAlign w:val="superscript"/>
        </w:rPr>
        <w:t>er</w:t>
      </w:r>
      <w:r>
        <w:rPr>
          <w:rFonts w:cs="Arial"/>
        </w:rPr>
        <w:t xml:space="preserve"> janvier 2023, de deux conventions de participation (santé et prévoyance).</w:t>
      </w:r>
    </w:p>
    <w:p w:rsidR="004611F4" w:rsidRDefault="004611F4" w:rsidP="004611F4">
      <w:pPr>
        <w:rPr>
          <w:rFonts w:cs="Arial"/>
        </w:rPr>
      </w:pPr>
      <w:r>
        <w:rPr>
          <w:rFonts w:cs="Arial"/>
        </w:rPr>
        <w:t xml:space="preserve">Cette mutualisation permettra d’avoir une capacité de négociation au bénéfice des agents et des employeurs publics. </w:t>
      </w:r>
    </w:p>
    <w:p w:rsidR="00ED7152" w:rsidRDefault="00ED7152" w:rsidP="004D6112">
      <w:pPr>
        <w:spacing w:after="0"/>
        <w:rPr>
          <w:rFonts w:cs="Arial"/>
          <w:shd w:val="clear" w:color="auto" w:fill="FFFFFF"/>
        </w:rPr>
      </w:pPr>
    </w:p>
    <w:p w:rsidR="003531E8" w:rsidRDefault="003C42A7" w:rsidP="003C42A7">
      <w:pPr>
        <w:spacing w:line="256" w:lineRule="auto"/>
        <w:rPr>
          <w:rFonts w:cs="Arial"/>
        </w:rPr>
      </w:pPr>
      <w:r>
        <w:rPr>
          <w:rFonts w:cs="Arial"/>
        </w:rPr>
        <w:t>Au-delà de ces éléments, le débat au sein de l’assemblée délibérante pourra porter également sur des points spécifiques à la collectivité ou à l’établissement, notamment :</w:t>
      </w:r>
    </w:p>
    <w:p w:rsidR="003C42A7" w:rsidRDefault="003C42A7" w:rsidP="003C42A7">
      <w:pPr>
        <w:spacing w:line="256" w:lineRule="auto"/>
        <w:ind w:left="851"/>
        <w:rPr>
          <w:rFonts w:cs="Arial"/>
        </w:rPr>
      </w:pPr>
    </w:p>
    <w:p w:rsidR="003C42A7" w:rsidRPr="00FA7FBB" w:rsidRDefault="003C42A7" w:rsidP="003C42A7">
      <w:pPr>
        <w:pStyle w:val="Paragraphedeliste"/>
        <w:numPr>
          <w:ilvl w:val="0"/>
          <w:numId w:val="10"/>
        </w:numPr>
        <w:spacing w:line="256" w:lineRule="auto"/>
        <w:ind w:left="1276" w:hanging="491"/>
        <w:jc w:val="both"/>
        <w:rPr>
          <w:rFonts w:ascii="Arial" w:hAnsi="Arial" w:cs="Arial"/>
          <w:sz w:val="20"/>
          <w:szCs w:val="20"/>
        </w:rPr>
      </w:pPr>
      <w:r w:rsidRPr="00FA7FBB">
        <w:rPr>
          <w:rFonts w:ascii="Arial" w:hAnsi="Arial" w:cs="Arial"/>
          <w:sz w:val="20"/>
          <w:szCs w:val="20"/>
        </w:rPr>
        <w:t>un état des lieux des garanties actuellement proposées, type de contrat (individuel/labellisation, collectif/convention de participation), du nombre d’agents bénéficiaires et du montant de la participation financière actuelle ;</w:t>
      </w:r>
    </w:p>
    <w:p w:rsidR="003C42A7" w:rsidRPr="00FA7FBB" w:rsidRDefault="003C42A7" w:rsidP="003C42A7">
      <w:pPr>
        <w:pStyle w:val="Paragraphedeliste"/>
        <w:spacing w:line="256" w:lineRule="auto"/>
        <w:ind w:left="1276"/>
        <w:jc w:val="both"/>
        <w:rPr>
          <w:rFonts w:ascii="Arial" w:hAnsi="Arial" w:cs="Arial"/>
          <w:sz w:val="20"/>
          <w:szCs w:val="20"/>
        </w:rPr>
      </w:pPr>
    </w:p>
    <w:p w:rsidR="003C42A7" w:rsidRPr="00FA7FBB" w:rsidRDefault="003C42A7" w:rsidP="003C42A7">
      <w:pPr>
        <w:pStyle w:val="Paragraphedeliste"/>
        <w:spacing w:line="256" w:lineRule="auto"/>
        <w:ind w:left="1276"/>
        <w:jc w:val="both"/>
        <w:rPr>
          <w:rFonts w:ascii="Arial" w:hAnsi="Arial" w:cs="Arial"/>
          <w:sz w:val="20"/>
          <w:szCs w:val="20"/>
        </w:rPr>
      </w:pPr>
    </w:p>
    <w:p w:rsidR="00C64D40" w:rsidRPr="00FA7FBB" w:rsidRDefault="00C64D40" w:rsidP="003C42A7">
      <w:pPr>
        <w:pStyle w:val="Paragraphedeliste"/>
        <w:spacing w:line="256" w:lineRule="auto"/>
        <w:ind w:left="1276"/>
        <w:jc w:val="both"/>
        <w:rPr>
          <w:rFonts w:ascii="Arial" w:hAnsi="Arial" w:cs="Arial"/>
          <w:sz w:val="20"/>
          <w:szCs w:val="20"/>
        </w:rPr>
      </w:pPr>
    </w:p>
    <w:p w:rsidR="003C42A7" w:rsidRPr="00FA7FBB" w:rsidRDefault="003C42A7" w:rsidP="003C42A7">
      <w:pPr>
        <w:pStyle w:val="Paragraphedeliste"/>
        <w:numPr>
          <w:ilvl w:val="0"/>
          <w:numId w:val="10"/>
        </w:numPr>
        <w:spacing w:line="256" w:lineRule="auto"/>
        <w:ind w:left="1276" w:hanging="491"/>
        <w:jc w:val="both"/>
        <w:rPr>
          <w:rFonts w:ascii="Arial" w:hAnsi="Arial" w:cs="Arial"/>
          <w:sz w:val="20"/>
          <w:szCs w:val="20"/>
        </w:rPr>
      </w:pPr>
      <w:r w:rsidRPr="00FA7FBB">
        <w:rPr>
          <w:rFonts w:ascii="Arial" w:hAnsi="Arial" w:cs="Arial"/>
          <w:sz w:val="20"/>
          <w:szCs w:val="20"/>
        </w:rPr>
        <w:t>l’éventuelle mise en place de négociation en vue d’aboutir à un accord majoritaire local avec les organisations syndicales ;</w:t>
      </w:r>
    </w:p>
    <w:p w:rsidR="003C42A7" w:rsidRPr="00FA7FBB" w:rsidRDefault="003C42A7" w:rsidP="003C42A7">
      <w:pPr>
        <w:pStyle w:val="Paragraphedeliste"/>
        <w:spacing w:line="256" w:lineRule="auto"/>
        <w:ind w:left="1276"/>
        <w:jc w:val="both"/>
        <w:rPr>
          <w:rFonts w:ascii="Arial" w:hAnsi="Arial" w:cs="Arial"/>
          <w:sz w:val="20"/>
          <w:szCs w:val="20"/>
        </w:rPr>
      </w:pPr>
    </w:p>
    <w:p w:rsidR="003C42A7" w:rsidRPr="00FA7FBB" w:rsidRDefault="003C42A7" w:rsidP="003C42A7">
      <w:pPr>
        <w:pStyle w:val="Paragraphedeliste"/>
        <w:numPr>
          <w:ilvl w:val="0"/>
          <w:numId w:val="10"/>
        </w:numPr>
        <w:spacing w:line="256" w:lineRule="auto"/>
        <w:ind w:left="1276" w:hanging="491"/>
        <w:jc w:val="both"/>
        <w:rPr>
          <w:rFonts w:ascii="Arial" w:hAnsi="Arial" w:cs="Arial"/>
          <w:sz w:val="20"/>
          <w:szCs w:val="20"/>
        </w:rPr>
      </w:pPr>
      <w:r w:rsidRPr="00FA7FBB">
        <w:rPr>
          <w:rFonts w:ascii="Arial" w:hAnsi="Arial" w:cs="Arial"/>
          <w:sz w:val="20"/>
          <w:szCs w:val="20"/>
        </w:rPr>
        <w:t>la nature des garanties et le niveau de participation envisagés d’ici 2025/2026 ;</w:t>
      </w:r>
    </w:p>
    <w:p w:rsidR="003C42A7" w:rsidRPr="00FA7FBB" w:rsidRDefault="003C42A7" w:rsidP="003C42A7">
      <w:pPr>
        <w:pStyle w:val="Paragraphedeliste"/>
        <w:rPr>
          <w:rFonts w:ascii="Arial" w:hAnsi="Arial" w:cs="Arial"/>
          <w:sz w:val="20"/>
          <w:szCs w:val="20"/>
        </w:rPr>
      </w:pPr>
    </w:p>
    <w:p w:rsidR="00C64D40" w:rsidRPr="00FA7FBB" w:rsidRDefault="003C42A7" w:rsidP="003C42A7">
      <w:pPr>
        <w:pStyle w:val="Paragraphedeliste"/>
        <w:numPr>
          <w:ilvl w:val="0"/>
          <w:numId w:val="10"/>
        </w:numPr>
        <w:spacing w:line="256" w:lineRule="auto"/>
        <w:ind w:left="1276" w:hanging="491"/>
        <w:jc w:val="both"/>
        <w:rPr>
          <w:rFonts w:ascii="Arial" w:hAnsi="Arial" w:cs="Arial"/>
          <w:sz w:val="20"/>
          <w:szCs w:val="20"/>
        </w:rPr>
      </w:pPr>
      <w:r w:rsidRPr="00FA7FBB">
        <w:rPr>
          <w:rFonts w:ascii="Arial" w:hAnsi="Arial" w:cs="Arial"/>
          <w:sz w:val="20"/>
          <w:szCs w:val="20"/>
        </w:rPr>
        <w:t>le positionnement de la collectivité/de l’établissement pour participer aux conventions de participation proposés</w:t>
      </w:r>
      <w:r w:rsidR="009017F4" w:rsidRPr="00FA7FBB">
        <w:rPr>
          <w:rFonts w:ascii="Arial" w:hAnsi="Arial" w:cs="Arial"/>
          <w:sz w:val="20"/>
          <w:szCs w:val="20"/>
        </w:rPr>
        <w:t xml:space="preserve"> par le Centre de Gestion</w:t>
      </w:r>
      <w:r w:rsidR="00C64D40" w:rsidRPr="00FA7FBB">
        <w:rPr>
          <w:rFonts w:ascii="Arial" w:hAnsi="Arial" w:cs="Arial"/>
          <w:sz w:val="20"/>
          <w:szCs w:val="20"/>
        </w:rPr>
        <w:t> ;</w:t>
      </w:r>
    </w:p>
    <w:p w:rsidR="00C64D40" w:rsidRPr="00FA7FBB" w:rsidRDefault="00C64D40" w:rsidP="00C64D40">
      <w:pPr>
        <w:pStyle w:val="Paragraphedeliste"/>
        <w:rPr>
          <w:rFonts w:ascii="Arial" w:hAnsi="Arial" w:cs="Arial"/>
          <w:sz w:val="20"/>
          <w:szCs w:val="20"/>
        </w:rPr>
      </w:pPr>
    </w:p>
    <w:p w:rsidR="003C42A7" w:rsidRPr="00FA7FBB" w:rsidRDefault="00C64D40" w:rsidP="003C42A7">
      <w:pPr>
        <w:pStyle w:val="Paragraphedeliste"/>
        <w:numPr>
          <w:ilvl w:val="0"/>
          <w:numId w:val="10"/>
        </w:numPr>
        <w:spacing w:line="256" w:lineRule="auto"/>
        <w:ind w:left="1276" w:hanging="491"/>
        <w:jc w:val="both"/>
        <w:rPr>
          <w:rFonts w:ascii="Arial" w:hAnsi="Arial" w:cs="Arial"/>
          <w:sz w:val="20"/>
          <w:szCs w:val="20"/>
        </w:rPr>
      </w:pPr>
      <w:r w:rsidRPr="00FA7FBB">
        <w:rPr>
          <w:rFonts w:ascii="Arial" w:hAnsi="Arial" w:cs="Arial"/>
          <w:sz w:val="20"/>
          <w:szCs w:val="20"/>
        </w:rPr>
        <w:t>le calendrier de mise en œuvre.</w:t>
      </w:r>
    </w:p>
    <w:p w:rsidR="004D6112" w:rsidRPr="004D6112" w:rsidRDefault="004D6112" w:rsidP="004D6112">
      <w:pPr>
        <w:spacing w:after="0"/>
        <w:rPr>
          <w:rFonts w:cs="Arial"/>
          <w:shd w:val="clear" w:color="auto" w:fill="FFFFFF"/>
        </w:rPr>
      </w:pPr>
    </w:p>
    <w:p w:rsidR="004D6112" w:rsidRPr="004D6112" w:rsidRDefault="004D6112" w:rsidP="004D6112">
      <w:pPr>
        <w:spacing w:after="0"/>
        <w:rPr>
          <w:rFonts w:cs="Arial"/>
        </w:rPr>
      </w:pPr>
    </w:p>
    <w:p w:rsidR="00FA7FBB" w:rsidRDefault="00FA7FBB" w:rsidP="00FA7FBB">
      <w:pPr>
        <w:rPr>
          <w:rFonts w:cstheme="minorHAnsi"/>
          <w:b/>
          <w:i/>
          <w:sz w:val="21"/>
          <w:szCs w:val="21"/>
        </w:rPr>
      </w:pPr>
      <w:r w:rsidRPr="00FA7FBB">
        <w:rPr>
          <w:rFonts w:cstheme="minorHAnsi"/>
          <w:b/>
          <w:i/>
          <w:sz w:val="21"/>
          <w:szCs w:val="21"/>
          <w:u w:val="single"/>
        </w:rPr>
        <w:t>Important </w:t>
      </w:r>
      <w:r w:rsidRPr="00FA7FBB">
        <w:rPr>
          <w:rFonts w:cstheme="minorHAnsi"/>
          <w:b/>
          <w:i/>
          <w:sz w:val="21"/>
          <w:szCs w:val="21"/>
        </w:rPr>
        <w:t>: Le présent modèle proposé par le C</w:t>
      </w:r>
      <w:r>
        <w:rPr>
          <w:rFonts w:cstheme="minorHAnsi"/>
          <w:b/>
          <w:i/>
          <w:sz w:val="21"/>
          <w:szCs w:val="21"/>
        </w:rPr>
        <w:t>entre de Gestion est indicatif.</w:t>
      </w:r>
    </w:p>
    <w:p w:rsidR="00406FFD" w:rsidRPr="00FA7FBB" w:rsidRDefault="00FA7FBB" w:rsidP="00FA7FBB">
      <w:pPr>
        <w:rPr>
          <w:rFonts w:cstheme="minorHAnsi"/>
          <w:b/>
          <w:i/>
          <w:sz w:val="21"/>
          <w:szCs w:val="21"/>
        </w:rPr>
      </w:pPr>
      <w:r w:rsidRPr="00FA7FBB">
        <w:rPr>
          <w:rFonts w:cstheme="minorHAnsi"/>
          <w:b/>
          <w:i/>
          <w:sz w:val="21"/>
          <w:szCs w:val="21"/>
        </w:rPr>
        <w:t>Il appartient à l’autorité territoriale de l’adapter au contexte particulier de la structure concernée.</w:t>
      </w:r>
    </w:p>
    <w:sectPr w:rsidR="00406FFD" w:rsidRPr="00FA7FBB" w:rsidSect="00DF2A9A">
      <w:headerReference w:type="default" r:id="rId8"/>
      <w:pgSz w:w="11906" w:h="16838"/>
      <w:pgMar w:top="1417" w:right="1417" w:bottom="1417" w:left="141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34" w:rsidRDefault="002B3834" w:rsidP="000B56C7">
      <w:pPr>
        <w:spacing w:before="0" w:after="0"/>
      </w:pPr>
      <w:r>
        <w:separator/>
      </w:r>
    </w:p>
  </w:endnote>
  <w:endnote w:type="continuationSeparator" w:id="0">
    <w:p w:rsidR="002B3834" w:rsidRDefault="002B3834" w:rsidP="000B56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charset w:val="00"/>
    <w:family w:val="auto"/>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34" w:rsidRDefault="002B3834" w:rsidP="000B56C7">
      <w:pPr>
        <w:spacing w:before="0" w:after="0"/>
      </w:pPr>
      <w:r>
        <w:separator/>
      </w:r>
    </w:p>
  </w:footnote>
  <w:footnote w:type="continuationSeparator" w:id="0">
    <w:p w:rsidR="002B3834" w:rsidRDefault="002B3834" w:rsidP="000B56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92" w:rsidRDefault="00C33A43" w:rsidP="00B4010A">
    <w:pPr>
      <w:pStyle w:val="En-tte"/>
      <w:ind w:left="-567"/>
    </w:pPr>
    <w:r>
      <w:rPr>
        <w:noProof/>
        <w:lang w:eastAsia="fr-FR"/>
      </w:rPr>
      <w:drawing>
        <wp:inline distT="0" distB="0" distL="0" distR="0" wp14:anchorId="2CEA3FBD" wp14:editId="040FC1CE">
          <wp:extent cx="1617540" cy="987800"/>
          <wp:effectExtent l="0" t="0" r="8255" b="3175"/>
          <wp:docPr id="147" name="Image 147" descr="Macintosh HD:Users:ElodiePEAN:Desktop:CDG-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odiePEAN:Desktop:CDG-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540" cy="987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9C2"/>
    <w:multiLevelType w:val="hybridMultilevel"/>
    <w:tmpl w:val="DB84F5D4"/>
    <w:lvl w:ilvl="0" w:tplc="040C0001">
      <w:start w:val="1"/>
      <w:numFmt w:val="bullet"/>
      <w:lvlText w:val=""/>
      <w:lvlJc w:val="left"/>
      <w:pPr>
        <w:ind w:left="720" w:hanging="360"/>
      </w:pPr>
      <w:rPr>
        <w:rFonts w:ascii="Symbol" w:hAnsi="Symbol" w:hint="default"/>
      </w:rPr>
    </w:lvl>
    <w:lvl w:ilvl="1" w:tplc="768EA186">
      <w:start w:val="1"/>
      <w:numFmt w:val="bullet"/>
      <w:pStyle w:val="Liste2"/>
      <w:lvlText w:val="&gt;"/>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1D2AC3"/>
    <w:multiLevelType w:val="hybridMultilevel"/>
    <w:tmpl w:val="4EEE811A"/>
    <w:lvl w:ilvl="0" w:tplc="6542177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CAF1587"/>
    <w:multiLevelType w:val="hybridMultilevel"/>
    <w:tmpl w:val="10D080E8"/>
    <w:lvl w:ilvl="0" w:tplc="4A38DA8C">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13F68"/>
    <w:multiLevelType w:val="hybridMultilevel"/>
    <w:tmpl w:val="1D56D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A343D2"/>
    <w:multiLevelType w:val="multilevel"/>
    <w:tmpl w:val="3312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52803"/>
    <w:multiLevelType w:val="hybridMultilevel"/>
    <w:tmpl w:val="4900187E"/>
    <w:lvl w:ilvl="0" w:tplc="1AF22DAC">
      <w:numFmt w:val="bullet"/>
      <w:lvlText w:val="-"/>
      <w:lvlJc w:val="left"/>
      <w:pPr>
        <w:ind w:left="720" w:hanging="360"/>
      </w:pPr>
      <w:rPr>
        <w:rFonts w:ascii="Garamond" w:eastAsiaTheme="minorHAnsi"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2C6211"/>
    <w:multiLevelType w:val="hybridMultilevel"/>
    <w:tmpl w:val="BD82D7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FF24C6"/>
    <w:multiLevelType w:val="hybridMultilevel"/>
    <w:tmpl w:val="AABEC240"/>
    <w:lvl w:ilvl="0" w:tplc="1AF22DAC">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AB6145"/>
    <w:multiLevelType w:val="hybridMultilevel"/>
    <w:tmpl w:val="9D020336"/>
    <w:lvl w:ilvl="0" w:tplc="91A88102">
      <w:start w:val="2"/>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6066A7"/>
    <w:multiLevelType w:val="multilevel"/>
    <w:tmpl w:val="E5B4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422D9"/>
    <w:multiLevelType w:val="hybridMultilevel"/>
    <w:tmpl w:val="3718E270"/>
    <w:lvl w:ilvl="0" w:tplc="68087B58">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721A68"/>
    <w:multiLevelType w:val="hybridMultilevel"/>
    <w:tmpl w:val="ECE0ED14"/>
    <w:lvl w:ilvl="0" w:tplc="AC84CDC2">
      <w:start w:val="1"/>
      <w:numFmt w:val="decimal"/>
      <w:pStyle w:val="Liste3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2D302BD"/>
    <w:multiLevelType w:val="hybridMultilevel"/>
    <w:tmpl w:val="648CAF62"/>
    <w:lvl w:ilvl="0" w:tplc="A71EA8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74747E"/>
    <w:multiLevelType w:val="hybridMultilevel"/>
    <w:tmpl w:val="9640B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563ADA"/>
    <w:multiLevelType w:val="hybridMultilevel"/>
    <w:tmpl w:val="69B0F994"/>
    <w:lvl w:ilvl="0" w:tplc="E0547C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6F1FCE"/>
    <w:multiLevelType w:val="hybridMultilevel"/>
    <w:tmpl w:val="28A24AB2"/>
    <w:lvl w:ilvl="0" w:tplc="3058021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0"/>
  </w:num>
  <w:num w:numId="5">
    <w:abstractNumId w:val="11"/>
    <w:lvlOverride w:ilvl="0">
      <w:startOverride w:val="1"/>
    </w:lvlOverride>
  </w:num>
  <w:num w:numId="6">
    <w:abstractNumId w:val="6"/>
  </w:num>
  <w:num w:numId="7">
    <w:abstractNumId w:val="12"/>
  </w:num>
  <w:num w:numId="8">
    <w:abstractNumId w:val="7"/>
  </w:num>
  <w:num w:numId="9">
    <w:abstractNumId w:val="8"/>
  </w:num>
  <w:num w:numId="10">
    <w:abstractNumId w:val="5"/>
  </w:num>
  <w:num w:numId="11">
    <w:abstractNumId w:val="15"/>
  </w:num>
  <w:num w:numId="12">
    <w:abstractNumId w:val="2"/>
  </w:num>
  <w:num w:numId="13">
    <w:abstractNumId w:val="14"/>
  </w:num>
  <w:num w:numId="14">
    <w:abstractNumId w:val="3"/>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AF"/>
    <w:rsid w:val="000103A3"/>
    <w:rsid w:val="00023BED"/>
    <w:rsid w:val="0004160D"/>
    <w:rsid w:val="00057AF2"/>
    <w:rsid w:val="000837DA"/>
    <w:rsid w:val="000A4992"/>
    <w:rsid w:val="000B1514"/>
    <w:rsid w:val="000B56C7"/>
    <w:rsid w:val="00140517"/>
    <w:rsid w:val="00184D1E"/>
    <w:rsid w:val="001C5462"/>
    <w:rsid w:val="00244DFA"/>
    <w:rsid w:val="0026154A"/>
    <w:rsid w:val="002B3834"/>
    <w:rsid w:val="002E4F6A"/>
    <w:rsid w:val="00303BD6"/>
    <w:rsid w:val="003132F0"/>
    <w:rsid w:val="003531E8"/>
    <w:rsid w:val="00355B08"/>
    <w:rsid w:val="00355CFE"/>
    <w:rsid w:val="00371187"/>
    <w:rsid w:val="00381E9A"/>
    <w:rsid w:val="00395A84"/>
    <w:rsid w:val="003B0E7C"/>
    <w:rsid w:val="003C22B1"/>
    <w:rsid w:val="003C42A7"/>
    <w:rsid w:val="00406FFD"/>
    <w:rsid w:val="004611F4"/>
    <w:rsid w:val="00467B39"/>
    <w:rsid w:val="004715AE"/>
    <w:rsid w:val="004D6112"/>
    <w:rsid w:val="004E15D4"/>
    <w:rsid w:val="005132C4"/>
    <w:rsid w:val="0051759D"/>
    <w:rsid w:val="005B5DEC"/>
    <w:rsid w:val="00604F21"/>
    <w:rsid w:val="0062213D"/>
    <w:rsid w:val="0062317C"/>
    <w:rsid w:val="00633563"/>
    <w:rsid w:val="006622B9"/>
    <w:rsid w:val="00675A67"/>
    <w:rsid w:val="006B2A29"/>
    <w:rsid w:val="006E18AB"/>
    <w:rsid w:val="0078186D"/>
    <w:rsid w:val="00785471"/>
    <w:rsid w:val="007A171D"/>
    <w:rsid w:val="007D5997"/>
    <w:rsid w:val="007F11AF"/>
    <w:rsid w:val="0082667E"/>
    <w:rsid w:val="00883756"/>
    <w:rsid w:val="00896666"/>
    <w:rsid w:val="009017F4"/>
    <w:rsid w:val="00915C7A"/>
    <w:rsid w:val="0092376D"/>
    <w:rsid w:val="00991721"/>
    <w:rsid w:val="009A0820"/>
    <w:rsid w:val="009F4D95"/>
    <w:rsid w:val="00A02C3D"/>
    <w:rsid w:val="00A0592F"/>
    <w:rsid w:val="00A11DBE"/>
    <w:rsid w:val="00A3340A"/>
    <w:rsid w:val="00A53DC3"/>
    <w:rsid w:val="00AB362E"/>
    <w:rsid w:val="00AF5CA5"/>
    <w:rsid w:val="00B06F06"/>
    <w:rsid w:val="00B4010A"/>
    <w:rsid w:val="00B8580D"/>
    <w:rsid w:val="00B85CBF"/>
    <w:rsid w:val="00BC0C15"/>
    <w:rsid w:val="00BF1E6D"/>
    <w:rsid w:val="00C0665E"/>
    <w:rsid w:val="00C324DE"/>
    <w:rsid w:val="00C338DF"/>
    <w:rsid w:val="00C33A43"/>
    <w:rsid w:val="00C439B2"/>
    <w:rsid w:val="00C64D40"/>
    <w:rsid w:val="00C869A3"/>
    <w:rsid w:val="00CD4450"/>
    <w:rsid w:val="00D04029"/>
    <w:rsid w:val="00D11FF6"/>
    <w:rsid w:val="00D97CD1"/>
    <w:rsid w:val="00DC0600"/>
    <w:rsid w:val="00DF2A9A"/>
    <w:rsid w:val="00EB109B"/>
    <w:rsid w:val="00EB6B73"/>
    <w:rsid w:val="00EC36A7"/>
    <w:rsid w:val="00EC4327"/>
    <w:rsid w:val="00ED7152"/>
    <w:rsid w:val="00EE0C89"/>
    <w:rsid w:val="00EF79B8"/>
    <w:rsid w:val="00F104FE"/>
    <w:rsid w:val="00F15C72"/>
    <w:rsid w:val="00F81F9F"/>
    <w:rsid w:val="00F94F9C"/>
    <w:rsid w:val="00F953A5"/>
    <w:rsid w:val="00FA7F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0A2A0F8-68B0-4BEB-82C5-D98AB8FD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fr-FR" w:eastAsia="en-US" w:bidi="ar-SA"/>
      </w:rPr>
    </w:rPrDefault>
    <w:pPrDefault>
      <w:pPr>
        <w:spacing w:before="120" w:after="120"/>
        <w:jc w:val="both"/>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1F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rpsdetexte">
    <w:name w:val="Normal_corps de texte"/>
    <w:link w:val="NormalcorpsdetexteCar"/>
    <w:qFormat/>
    <w:rsid w:val="00CD4450"/>
    <w:pPr>
      <w:spacing w:after="200" w:line="288" w:lineRule="auto"/>
    </w:pPr>
    <w:rPr>
      <w:rFonts w:eastAsia="Calibri"/>
    </w:rPr>
  </w:style>
  <w:style w:type="character" w:customStyle="1" w:styleId="NormalcorpsdetexteCar">
    <w:name w:val="Normal_corps de texte Car"/>
    <w:basedOn w:val="Policepardfaut"/>
    <w:link w:val="Normalcorpsdetexte"/>
    <w:rsid w:val="00CD4450"/>
    <w:rPr>
      <w:rFonts w:eastAsia="Calibri"/>
    </w:rPr>
  </w:style>
  <w:style w:type="paragraph" w:customStyle="1" w:styleId="CCSous-titre-dossier">
    <w:name w:val="CC_Sous-titre-dossier"/>
    <w:basedOn w:val="Normal"/>
    <w:link w:val="CCSous-titre-dossierCar"/>
    <w:rsid w:val="005132C4"/>
    <w:pPr>
      <w:spacing w:after="200"/>
      <w:jc w:val="center"/>
    </w:pPr>
    <w:rPr>
      <w:rFonts w:ascii="Arial Narrow" w:eastAsia="Times New Roman" w:hAnsi="Arial Narrow"/>
      <w:bCs/>
      <w:caps/>
      <w:sz w:val="32"/>
      <w:szCs w:val="28"/>
    </w:rPr>
  </w:style>
  <w:style w:type="character" w:customStyle="1" w:styleId="CCSous-titre-dossierCar">
    <w:name w:val="CC_Sous-titre-dossier Car"/>
    <w:link w:val="CCSous-titre-dossier"/>
    <w:rsid w:val="005132C4"/>
    <w:rPr>
      <w:rFonts w:ascii="Arial Narrow" w:eastAsia="Times New Roman" w:hAnsi="Arial Narrow" w:cs="Times New Roman"/>
      <w:bCs/>
      <w:caps/>
      <w:sz w:val="32"/>
      <w:szCs w:val="28"/>
    </w:rPr>
  </w:style>
  <w:style w:type="paragraph" w:customStyle="1" w:styleId="CCTitre1">
    <w:name w:val="CC_Titre 1"/>
    <w:next w:val="Normalcorpsdetexte"/>
    <w:link w:val="CCTitre1Car"/>
    <w:rsid w:val="005132C4"/>
    <w:pPr>
      <w:spacing w:after="200"/>
    </w:pPr>
    <w:rPr>
      <w:rFonts w:eastAsia="Times New Roman"/>
      <w:b/>
      <w:bCs/>
      <w:sz w:val="40"/>
      <w:szCs w:val="28"/>
    </w:rPr>
  </w:style>
  <w:style w:type="character" w:customStyle="1" w:styleId="CCTitre1Car">
    <w:name w:val="CC_Titre 1 Car"/>
    <w:basedOn w:val="Policepardfaut"/>
    <w:link w:val="CCTitre1"/>
    <w:rsid w:val="005132C4"/>
    <w:rPr>
      <w:rFonts w:ascii="Arial" w:eastAsia="Times New Roman" w:hAnsi="Arial" w:cs="Times New Roman"/>
      <w:b/>
      <w:bCs/>
      <w:sz w:val="40"/>
      <w:szCs w:val="28"/>
    </w:rPr>
  </w:style>
  <w:style w:type="paragraph" w:customStyle="1" w:styleId="Titre2">
    <w:name w:val="Titre/2"/>
    <w:next w:val="Normalcorpsdetexte"/>
    <w:link w:val="Titre2Car"/>
    <w:qFormat/>
    <w:rsid w:val="005132C4"/>
    <w:pPr>
      <w:spacing w:after="200"/>
    </w:pPr>
    <w:rPr>
      <w:rFonts w:eastAsia="Times New Roman"/>
      <w:b/>
      <w:bCs/>
      <w:sz w:val="36"/>
      <w:szCs w:val="32"/>
    </w:rPr>
  </w:style>
  <w:style w:type="character" w:customStyle="1" w:styleId="Titre2Car">
    <w:name w:val="Titre/2 Car"/>
    <w:basedOn w:val="Policepardfaut"/>
    <w:link w:val="Titre2"/>
    <w:rsid w:val="005132C4"/>
    <w:rPr>
      <w:rFonts w:ascii="Arial" w:eastAsia="Times New Roman" w:hAnsi="Arial" w:cs="Times New Roman"/>
      <w:b/>
      <w:bCs/>
      <w:sz w:val="36"/>
      <w:szCs w:val="32"/>
    </w:rPr>
  </w:style>
  <w:style w:type="paragraph" w:customStyle="1" w:styleId="Titre3">
    <w:name w:val="Titre/3"/>
    <w:basedOn w:val="Titre2"/>
    <w:link w:val="Titre3Car"/>
    <w:qFormat/>
    <w:rsid w:val="005132C4"/>
    <w:rPr>
      <w:rFonts w:cs="Arial"/>
      <w:sz w:val="32"/>
    </w:rPr>
  </w:style>
  <w:style w:type="character" w:customStyle="1" w:styleId="Titre3Car">
    <w:name w:val="Titre/3 Car"/>
    <w:basedOn w:val="Titre2Car"/>
    <w:link w:val="Titre3"/>
    <w:rsid w:val="005132C4"/>
    <w:rPr>
      <w:rFonts w:ascii="Arial" w:eastAsia="Times New Roman" w:hAnsi="Arial" w:cs="Arial"/>
      <w:b/>
      <w:bCs/>
      <w:sz w:val="32"/>
      <w:szCs w:val="32"/>
    </w:rPr>
  </w:style>
  <w:style w:type="paragraph" w:customStyle="1" w:styleId="Titre4">
    <w:name w:val="Titre/4"/>
    <w:basedOn w:val="Titre2"/>
    <w:link w:val="Titre4Car"/>
    <w:qFormat/>
    <w:rsid w:val="005132C4"/>
    <w:rPr>
      <w:rFonts w:cs="Arial"/>
      <w:sz w:val="28"/>
      <w:szCs w:val="28"/>
    </w:rPr>
  </w:style>
  <w:style w:type="character" w:customStyle="1" w:styleId="Titre4Car">
    <w:name w:val="Titre/4 Car"/>
    <w:basedOn w:val="Titre2Car"/>
    <w:link w:val="Titre4"/>
    <w:rsid w:val="005132C4"/>
    <w:rPr>
      <w:rFonts w:ascii="Arial" w:eastAsia="Times New Roman" w:hAnsi="Arial" w:cs="Arial"/>
      <w:b/>
      <w:bCs/>
      <w:sz w:val="28"/>
      <w:szCs w:val="28"/>
    </w:rPr>
  </w:style>
  <w:style w:type="paragraph" w:customStyle="1" w:styleId="Titre1">
    <w:name w:val="Titre/1"/>
    <w:basedOn w:val="Normal"/>
    <w:next w:val="Normal"/>
    <w:link w:val="Titre1Car"/>
    <w:qFormat/>
    <w:rsid w:val="00A0592F"/>
    <w:pPr>
      <w:spacing w:after="200"/>
      <w:jc w:val="left"/>
    </w:pPr>
    <w:rPr>
      <w:rFonts w:eastAsia="Calibri" w:cs="Arial"/>
      <w:b/>
      <w:sz w:val="52"/>
      <w:szCs w:val="52"/>
    </w:rPr>
  </w:style>
  <w:style w:type="character" w:customStyle="1" w:styleId="Titre1Car">
    <w:name w:val="Titre/1 Car"/>
    <w:basedOn w:val="Policepardfaut"/>
    <w:link w:val="Titre1"/>
    <w:rsid w:val="00A0592F"/>
    <w:rPr>
      <w:rFonts w:eastAsia="Calibri" w:cs="Arial"/>
      <w:b/>
      <w:sz w:val="52"/>
      <w:szCs w:val="52"/>
    </w:rPr>
  </w:style>
  <w:style w:type="character" w:styleId="Emphaseintense">
    <w:name w:val="Intense Emphasis"/>
    <w:basedOn w:val="Policepardfaut"/>
    <w:uiPriority w:val="21"/>
    <w:rsid w:val="00A11DBE"/>
    <w:rPr>
      <w:i/>
      <w:iCs/>
      <w:color w:val="5B9BD5" w:themeColor="accent1"/>
    </w:rPr>
  </w:style>
  <w:style w:type="character" w:styleId="Emphaseple">
    <w:name w:val="Subtle Emphasis"/>
    <w:aliases w:val="Titre/6/emphase"/>
    <w:basedOn w:val="Policepardfaut"/>
    <w:uiPriority w:val="19"/>
    <w:rsid w:val="00A0592F"/>
    <w:rPr>
      <w:rFonts w:ascii="Arial" w:hAnsi="Arial"/>
      <w:b/>
      <w:i w:val="0"/>
      <w:iCs/>
      <w:color w:val="404040" w:themeColor="text1" w:themeTint="BF"/>
      <w:sz w:val="20"/>
    </w:rPr>
  </w:style>
  <w:style w:type="paragraph" w:styleId="Sansinterligne">
    <w:name w:val="No Spacing"/>
    <w:link w:val="SansinterligneCar"/>
    <w:uiPriority w:val="1"/>
    <w:qFormat/>
    <w:rsid w:val="00F81F9F"/>
  </w:style>
  <w:style w:type="paragraph" w:customStyle="1" w:styleId="Paragraphestandard">
    <w:name w:val="[Paragraphe standard]"/>
    <w:basedOn w:val="Normal"/>
    <w:uiPriority w:val="99"/>
    <w:rsid w:val="00F81F9F"/>
    <w:pPr>
      <w:autoSpaceDE w:val="0"/>
      <w:autoSpaceDN w:val="0"/>
      <w:adjustRightInd w:val="0"/>
      <w:spacing w:before="0" w:after="0" w:line="288" w:lineRule="auto"/>
      <w:jc w:val="left"/>
      <w:textAlignment w:val="center"/>
    </w:pPr>
    <w:rPr>
      <w:rFonts w:ascii="Minion Pro" w:hAnsi="Minion Pro" w:cs="Minion Pro"/>
      <w:color w:val="000000"/>
      <w:sz w:val="24"/>
      <w:szCs w:val="24"/>
    </w:rPr>
  </w:style>
  <w:style w:type="paragraph" w:customStyle="1" w:styleId="Titre5">
    <w:name w:val="Titre/5"/>
    <w:basedOn w:val="Titre4"/>
    <w:link w:val="Titre5Car"/>
    <w:qFormat/>
    <w:rsid w:val="00355CFE"/>
    <w:rPr>
      <w:sz w:val="24"/>
    </w:rPr>
  </w:style>
  <w:style w:type="paragraph" w:customStyle="1" w:styleId="Trame1general">
    <w:name w:val="Trame/1/general"/>
    <w:basedOn w:val="Titre5"/>
    <w:link w:val="Trame1generalCar"/>
    <w:qFormat/>
    <w:rsid w:val="00057AF2"/>
    <w:pPr>
      <w:shd w:val="clear" w:color="auto" w:fill="52220C"/>
    </w:pPr>
    <w:rPr>
      <w:color w:val="FFFFFF" w:themeColor="background1"/>
    </w:rPr>
  </w:style>
  <w:style w:type="character" w:customStyle="1" w:styleId="Titre5Car">
    <w:name w:val="Titre/5 Car"/>
    <w:basedOn w:val="Titre4Car"/>
    <w:link w:val="Titre5"/>
    <w:rsid w:val="00355CFE"/>
    <w:rPr>
      <w:rFonts w:ascii="Arial" w:eastAsia="Times New Roman" w:hAnsi="Arial" w:cs="Arial"/>
      <w:b/>
      <w:bCs/>
      <w:sz w:val="24"/>
      <w:szCs w:val="28"/>
    </w:rPr>
  </w:style>
  <w:style w:type="paragraph" w:customStyle="1" w:styleId="Trame2Tourismeculture">
    <w:name w:val="Trame/2/Tourisme&amp;culture"/>
    <w:basedOn w:val="Titre5"/>
    <w:link w:val="Trame2TourismecultureCar"/>
    <w:qFormat/>
    <w:rsid w:val="00057AF2"/>
    <w:pPr>
      <w:shd w:val="clear" w:color="auto" w:fill="866242"/>
    </w:pPr>
    <w:rPr>
      <w:color w:val="FFFFFF" w:themeColor="background1"/>
    </w:rPr>
  </w:style>
  <w:style w:type="character" w:customStyle="1" w:styleId="Trame1generalCar">
    <w:name w:val="Trame/1/general Car"/>
    <w:basedOn w:val="Titre5Car"/>
    <w:link w:val="Trame1general"/>
    <w:rsid w:val="00057AF2"/>
    <w:rPr>
      <w:rFonts w:ascii="Arial" w:eastAsia="Times New Roman" w:hAnsi="Arial" w:cs="Arial"/>
      <w:b/>
      <w:bCs/>
      <w:color w:val="FFFFFF" w:themeColor="background1"/>
      <w:sz w:val="24"/>
      <w:szCs w:val="28"/>
      <w:shd w:val="clear" w:color="auto" w:fill="52220C"/>
    </w:rPr>
  </w:style>
  <w:style w:type="paragraph" w:customStyle="1" w:styleId="Trame3ecoemploi">
    <w:name w:val="Trame/3/eco&amp;emploi"/>
    <w:basedOn w:val="Titre5"/>
    <w:link w:val="Trame3ecoemploiCar"/>
    <w:qFormat/>
    <w:rsid w:val="00057AF2"/>
    <w:pPr>
      <w:shd w:val="clear" w:color="auto" w:fill="989A00"/>
    </w:pPr>
    <w:rPr>
      <w:color w:val="FFFFFF" w:themeColor="background1"/>
    </w:rPr>
  </w:style>
  <w:style w:type="character" w:customStyle="1" w:styleId="Trame2TourismecultureCar">
    <w:name w:val="Trame/2/Tourisme&amp;culture Car"/>
    <w:basedOn w:val="Titre5Car"/>
    <w:link w:val="Trame2Tourismeculture"/>
    <w:rsid w:val="00057AF2"/>
    <w:rPr>
      <w:rFonts w:ascii="Arial" w:eastAsia="Times New Roman" w:hAnsi="Arial" w:cs="Arial"/>
      <w:b/>
      <w:bCs/>
      <w:color w:val="FFFFFF" w:themeColor="background1"/>
      <w:sz w:val="24"/>
      <w:szCs w:val="28"/>
      <w:shd w:val="clear" w:color="auto" w:fill="866242"/>
    </w:rPr>
  </w:style>
  <w:style w:type="paragraph" w:customStyle="1" w:styleId="Trame4enfance">
    <w:name w:val="Trame/4/enfance"/>
    <w:basedOn w:val="Titre5"/>
    <w:link w:val="Trame4enfanceCar"/>
    <w:qFormat/>
    <w:rsid w:val="00057AF2"/>
    <w:pPr>
      <w:shd w:val="clear" w:color="auto" w:fill="A1057D"/>
    </w:pPr>
    <w:rPr>
      <w:color w:val="FFFFFF" w:themeColor="background1"/>
    </w:rPr>
  </w:style>
  <w:style w:type="character" w:customStyle="1" w:styleId="Trame3ecoemploiCar">
    <w:name w:val="Trame/3/eco&amp;emploi Car"/>
    <w:basedOn w:val="Titre5Car"/>
    <w:link w:val="Trame3ecoemploi"/>
    <w:rsid w:val="00057AF2"/>
    <w:rPr>
      <w:rFonts w:ascii="Arial" w:eastAsia="Times New Roman" w:hAnsi="Arial" w:cs="Arial"/>
      <w:b/>
      <w:bCs/>
      <w:color w:val="FFFFFF" w:themeColor="background1"/>
      <w:sz w:val="24"/>
      <w:szCs w:val="28"/>
      <w:shd w:val="clear" w:color="auto" w:fill="989A00"/>
    </w:rPr>
  </w:style>
  <w:style w:type="paragraph" w:customStyle="1" w:styleId="Trame5tech">
    <w:name w:val="Trame/5/tech"/>
    <w:basedOn w:val="Titre5"/>
    <w:link w:val="Trame5techCar"/>
    <w:qFormat/>
    <w:rsid w:val="00057AF2"/>
    <w:pPr>
      <w:shd w:val="clear" w:color="auto" w:fill="19A1D7"/>
    </w:pPr>
    <w:rPr>
      <w:color w:val="FFFFFF" w:themeColor="background1"/>
    </w:rPr>
  </w:style>
  <w:style w:type="character" w:customStyle="1" w:styleId="Trame4enfanceCar">
    <w:name w:val="Trame/4/enfance Car"/>
    <w:basedOn w:val="Titre5Car"/>
    <w:link w:val="Trame4enfance"/>
    <w:rsid w:val="00057AF2"/>
    <w:rPr>
      <w:rFonts w:ascii="Arial" w:eastAsia="Times New Roman" w:hAnsi="Arial" w:cs="Arial"/>
      <w:b/>
      <w:bCs/>
      <w:color w:val="FFFFFF" w:themeColor="background1"/>
      <w:sz w:val="24"/>
      <w:szCs w:val="28"/>
      <w:shd w:val="clear" w:color="auto" w:fill="A1057D"/>
    </w:rPr>
  </w:style>
  <w:style w:type="paragraph" w:customStyle="1" w:styleId="Titre6">
    <w:name w:val="Titre/6"/>
    <w:basedOn w:val="Titre5"/>
    <w:link w:val="Titre6Car"/>
    <w:qFormat/>
    <w:rsid w:val="00675A67"/>
  </w:style>
  <w:style w:type="character" w:customStyle="1" w:styleId="Trame5techCar">
    <w:name w:val="Trame/5/tech Car"/>
    <w:basedOn w:val="Titre5Car"/>
    <w:link w:val="Trame5tech"/>
    <w:rsid w:val="00057AF2"/>
    <w:rPr>
      <w:rFonts w:ascii="Arial" w:eastAsia="Times New Roman" w:hAnsi="Arial" w:cs="Arial"/>
      <w:b/>
      <w:bCs/>
      <w:color w:val="FFFFFF" w:themeColor="background1"/>
      <w:sz w:val="24"/>
      <w:szCs w:val="28"/>
      <w:shd w:val="clear" w:color="auto" w:fill="19A1D7"/>
    </w:rPr>
  </w:style>
  <w:style w:type="paragraph" w:customStyle="1" w:styleId="Liste1">
    <w:name w:val="Liste/1"/>
    <w:basedOn w:val="Normalcorpsdetexte"/>
    <w:link w:val="Liste1Car"/>
    <w:qFormat/>
    <w:rsid w:val="00EE0C89"/>
    <w:pPr>
      <w:numPr>
        <w:numId w:val="2"/>
      </w:numPr>
    </w:pPr>
  </w:style>
  <w:style w:type="character" w:customStyle="1" w:styleId="Titre6Car">
    <w:name w:val="Titre/6 Car"/>
    <w:basedOn w:val="Titre5Car"/>
    <w:link w:val="Titre6"/>
    <w:rsid w:val="00675A67"/>
    <w:rPr>
      <w:rFonts w:ascii="Arial" w:eastAsia="Times New Roman" w:hAnsi="Arial" w:cs="Arial"/>
      <w:b/>
      <w:bCs/>
      <w:sz w:val="24"/>
      <w:szCs w:val="28"/>
    </w:rPr>
  </w:style>
  <w:style w:type="paragraph" w:customStyle="1" w:styleId="Liste2">
    <w:name w:val="Liste/2"/>
    <w:basedOn w:val="Normalcorpsdetexte"/>
    <w:link w:val="Liste2Car"/>
    <w:qFormat/>
    <w:rsid w:val="00EE0C89"/>
    <w:pPr>
      <w:numPr>
        <w:ilvl w:val="1"/>
        <w:numId w:val="4"/>
      </w:numPr>
    </w:pPr>
  </w:style>
  <w:style w:type="character" w:customStyle="1" w:styleId="Liste1Car">
    <w:name w:val="Liste/1 Car"/>
    <w:basedOn w:val="NormalcorpsdetexteCar"/>
    <w:link w:val="Liste1"/>
    <w:rsid w:val="00EE0C89"/>
    <w:rPr>
      <w:rFonts w:ascii="Arial" w:eastAsia="Calibri" w:hAnsi="Arial" w:cs="Times New Roman"/>
      <w:noProof/>
      <w:sz w:val="20"/>
    </w:rPr>
  </w:style>
  <w:style w:type="paragraph" w:customStyle="1" w:styleId="Liste3n">
    <w:name w:val="Liste/3/n°"/>
    <w:basedOn w:val="Normalcorpsdetexte"/>
    <w:link w:val="Liste3nCar"/>
    <w:qFormat/>
    <w:rsid w:val="00EE0C89"/>
    <w:pPr>
      <w:numPr>
        <w:numId w:val="3"/>
      </w:numPr>
    </w:pPr>
  </w:style>
  <w:style w:type="character" w:customStyle="1" w:styleId="Liste2Car">
    <w:name w:val="Liste/2 Car"/>
    <w:basedOn w:val="NormalcorpsdetexteCar"/>
    <w:link w:val="Liste2"/>
    <w:rsid w:val="00EE0C89"/>
    <w:rPr>
      <w:rFonts w:ascii="Arial" w:eastAsia="Calibri" w:hAnsi="Arial" w:cs="Times New Roman"/>
      <w:noProof/>
      <w:sz w:val="20"/>
    </w:rPr>
  </w:style>
  <w:style w:type="paragraph" w:customStyle="1" w:styleId="Liste3nsansinterligne">
    <w:name w:val="Liste/3/n°/sans interligne"/>
    <w:basedOn w:val="Liste3n"/>
    <w:link w:val="Liste3nsansinterligneCar"/>
    <w:qFormat/>
    <w:rsid w:val="00EE0C89"/>
    <w:pPr>
      <w:spacing w:before="0" w:after="0"/>
    </w:pPr>
  </w:style>
  <w:style w:type="character" w:customStyle="1" w:styleId="Liste3nCar">
    <w:name w:val="Liste/3/n° Car"/>
    <w:basedOn w:val="NormalcorpsdetexteCar"/>
    <w:link w:val="Liste3n"/>
    <w:rsid w:val="00EE0C89"/>
    <w:rPr>
      <w:rFonts w:ascii="Arial" w:eastAsia="Calibri" w:hAnsi="Arial" w:cs="Times New Roman"/>
      <w:noProof/>
      <w:sz w:val="20"/>
    </w:rPr>
  </w:style>
  <w:style w:type="paragraph" w:customStyle="1" w:styleId="Liste1sansinterligne">
    <w:name w:val="Liste/1/sans interligne"/>
    <w:basedOn w:val="Liste1"/>
    <w:link w:val="Liste1sansinterligneCar"/>
    <w:qFormat/>
    <w:rsid w:val="00EE0C89"/>
    <w:pPr>
      <w:spacing w:before="0" w:after="0"/>
    </w:pPr>
  </w:style>
  <w:style w:type="character" w:customStyle="1" w:styleId="Liste3nsansinterligneCar">
    <w:name w:val="Liste/3/n°/sans interligne Car"/>
    <w:basedOn w:val="Liste3nCar"/>
    <w:link w:val="Liste3nsansinterligne"/>
    <w:rsid w:val="00EE0C89"/>
    <w:rPr>
      <w:rFonts w:ascii="Arial" w:eastAsia="Calibri" w:hAnsi="Arial" w:cs="Times New Roman"/>
      <w:noProof/>
      <w:sz w:val="20"/>
    </w:rPr>
  </w:style>
  <w:style w:type="paragraph" w:customStyle="1" w:styleId="Liste2sansinterligne">
    <w:name w:val="Liste/2/sans interligne"/>
    <w:basedOn w:val="Liste2"/>
    <w:link w:val="Liste2sansinterligneCar"/>
    <w:qFormat/>
    <w:rsid w:val="0026154A"/>
    <w:pPr>
      <w:spacing w:before="0" w:after="0"/>
    </w:pPr>
  </w:style>
  <w:style w:type="character" w:customStyle="1" w:styleId="Liste1sansinterligneCar">
    <w:name w:val="Liste/1/sans interligne Car"/>
    <w:basedOn w:val="Liste1Car"/>
    <w:link w:val="Liste1sansinterligne"/>
    <w:rsid w:val="00EE0C89"/>
    <w:rPr>
      <w:rFonts w:ascii="Arial" w:eastAsia="Calibri" w:hAnsi="Arial" w:cs="Times New Roman"/>
      <w:noProof/>
      <w:sz w:val="20"/>
    </w:rPr>
  </w:style>
  <w:style w:type="paragraph" w:styleId="En-tte">
    <w:name w:val="header"/>
    <w:basedOn w:val="Normal"/>
    <w:link w:val="En-tteCar"/>
    <w:uiPriority w:val="99"/>
    <w:unhideWhenUsed/>
    <w:rsid w:val="000B56C7"/>
    <w:pPr>
      <w:tabs>
        <w:tab w:val="center" w:pos="4536"/>
        <w:tab w:val="right" w:pos="9072"/>
      </w:tabs>
      <w:spacing w:before="0" w:after="0"/>
    </w:pPr>
  </w:style>
  <w:style w:type="character" w:customStyle="1" w:styleId="Liste2sansinterligneCar">
    <w:name w:val="Liste/2/sans interligne Car"/>
    <w:basedOn w:val="Liste2Car"/>
    <w:link w:val="Liste2sansinterligne"/>
    <w:rsid w:val="0026154A"/>
    <w:rPr>
      <w:rFonts w:ascii="Arial" w:eastAsia="Calibri" w:hAnsi="Arial" w:cs="Times New Roman"/>
      <w:noProof/>
      <w:sz w:val="20"/>
    </w:rPr>
  </w:style>
  <w:style w:type="character" w:customStyle="1" w:styleId="En-tteCar">
    <w:name w:val="En-tête Car"/>
    <w:basedOn w:val="Policepardfaut"/>
    <w:link w:val="En-tte"/>
    <w:uiPriority w:val="99"/>
    <w:rsid w:val="000B56C7"/>
  </w:style>
  <w:style w:type="paragraph" w:styleId="Pieddepage">
    <w:name w:val="footer"/>
    <w:basedOn w:val="Normal"/>
    <w:link w:val="PieddepageCar"/>
    <w:uiPriority w:val="99"/>
    <w:unhideWhenUsed/>
    <w:rsid w:val="000B56C7"/>
    <w:pPr>
      <w:tabs>
        <w:tab w:val="center" w:pos="4536"/>
        <w:tab w:val="right" w:pos="9072"/>
      </w:tabs>
      <w:spacing w:before="0" w:after="0"/>
    </w:pPr>
  </w:style>
  <w:style w:type="character" w:customStyle="1" w:styleId="PieddepageCar">
    <w:name w:val="Pied de page Car"/>
    <w:basedOn w:val="Policepardfaut"/>
    <w:link w:val="Pieddepage"/>
    <w:uiPriority w:val="99"/>
    <w:rsid w:val="000B56C7"/>
  </w:style>
  <w:style w:type="character" w:styleId="Textedelespacerserv">
    <w:name w:val="Placeholder Text"/>
    <w:basedOn w:val="Policepardfaut"/>
    <w:uiPriority w:val="99"/>
    <w:semiHidden/>
    <w:rsid w:val="00A53DC3"/>
    <w:rPr>
      <w:color w:val="808080"/>
    </w:rPr>
  </w:style>
  <w:style w:type="paragraph" w:styleId="Textedebulles">
    <w:name w:val="Balloon Text"/>
    <w:basedOn w:val="Normal"/>
    <w:link w:val="TextedebullesCar"/>
    <w:uiPriority w:val="99"/>
    <w:semiHidden/>
    <w:unhideWhenUsed/>
    <w:rsid w:val="007F11AF"/>
    <w:pPr>
      <w:spacing w:before="0"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F11AF"/>
    <w:rPr>
      <w:rFonts w:ascii="Lucida Grande" w:hAnsi="Lucida Grande"/>
      <w:sz w:val="18"/>
      <w:szCs w:val="18"/>
    </w:rPr>
  </w:style>
  <w:style w:type="character" w:styleId="Lienhypertexte">
    <w:name w:val="Hyperlink"/>
    <w:rsid w:val="00B4010A"/>
    <w:rPr>
      <w:color w:val="0000FF"/>
      <w:u w:val="single"/>
    </w:rPr>
  </w:style>
  <w:style w:type="paragraph" w:styleId="Paragraphedeliste">
    <w:name w:val="List Paragraph"/>
    <w:basedOn w:val="Normal"/>
    <w:uiPriority w:val="34"/>
    <w:qFormat/>
    <w:rsid w:val="004D6112"/>
    <w:pPr>
      <w:spacing w:before="0" w:after="160" w:line="259" w:lineRule="auto"/>
      <w:ind w:left="720"/>
      <w:contextualSpacing/>
      <w:jc w:val="left"/>
    </w:pPr>
    <w:rPr>
      <w:rFonts w:asciiTheme="minorHAnsi" w:hAnsiTheme="minorHAnsi" w:cstheme="minorBidi"/>
      <w:sz w:val="22"/>
      <w:szCs w:val="22"/>
    </w:rPr>
  </w:style>
  <w:style w:type="character" w:customStyle="1" w:styleId="SansinterligneCar">
    <w:name w:val="Sans interligne Car"/>
    <w:link w:val="Sansinterligne"/>
    <w:uiPriority w:val="1"/>
    <w:rsid w:val="004D6112"/>
  </w:style>
  <w:style w:type="table" w:customStyle="1" w:styleId="Grilledutableau1">
    <w:name w:val="Grille du tableau1"/>
    <w:basedOn w:val="TableauNormal"/>
    <w:next w:val="Grilledutableau"/>
    <w:uiPriority w:val="39"/>
    <w:rsid w:val="004D6112"/>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D6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5CF6-F729-44A4-825E-F23BD2C9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1545</Words>
  <Characters>8503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Péan</dc:creator>
  <cp:keywords/>
  <dc:description/>
  <cp:lastModifiedBy>Philippe Dumas</cp:lastModifiedBy>
  <cp:revision>6</cp:revision>
  <cp:lastPrinted>2021-07-29T13:47:00Z</cp:lastPrinted>
  <dcterms:created xsi:type="dcterms:W3CDTF">2021-12-01T10:36:00Z</dcterms:created>
  <dcterms:modified xsi:type="dcterms:W3CDTF">2022-01-17T09:42:00Z</dcterms:modified>
</cp:coreProperties>
</file>