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70" w:type="dxa"/>
          <w:right w:w="70" w:type="dxa"/>
        </w:tblCellMar>
        <w:tblLook w:val="04A0" w:firstRow="1" w:lastRow="0" w:firstColumn="1" w:lastColumn="0" w:noHBand="0" w:noVBand="1"/>
      </w:tblPr>
      <w:tblGrid>
        <w:gridCol w:w="10206"/>
      </w:tblGrid>
      <w:tr w:rsidR="005D2CB1" w14:paraId="54649F8B" w14:textId="77777777" w:rsidTr="00360AA1">
        <w:trPr>
          <w:trHeight w:val="80"/>
        </w:trPr>
        <w:tc>
          <w:tcPr>
            <w:tcW w:w="10206" w:type="dxa"/>
            <w:shd w:val="clear" w:color="auto" w:fill="FFFFFF" w:themeFill="background1"/>
          </w:tcPr>
          <w:p w14:paraId="67521E63" w14:textId="6FD79B0D" w:rsidR="005D2CB1" w:rsidRPr="00360AA1" w:rsidRDefault="00360AA1" w:rsidP="00360AA1">
            <w:pPr>
              <w:pStyle w:val="Paragraphedeliste"/>
              <w:spacing w:after="0" w:line="240" w:lineRule="auto"/>
              <w:ind w:left="-75" w:right="1068"/>
              <w:rPr>
                <w:b/>
                <w:bCs/>
                <w:sz w:val="24"/>
                <w:szCs w:val="24"/>
              </w:rPr>
            </w:pPr>
            <w:r w:rsidRPr="00360AA1">
              <w:rPr>
                <w:b/>
                <w:bCs/>
                <w:sz w:val="24"/>
                <w:szCs w:val="24"/>
                <w:highlight w:val="yellow"/>
              </w:rPr>
              <w:t>En tête-collectivité</w:t>
            </w:r>
          </w:p>
        </w:tc>
      </w:tr>
    </w:tbl>
    <w:p w14:paraId="08B2F981" w14:textId="77777777" w:rsidR="00360AA1" w:rsidRDefault="00360AA1" w:rsidP="005D2CB1">
      <w:pPr>
        <w:tabs>
          <w:tab w:val="left" w:pos="5670"/>
          <w:tab w:val="left" w:pos="6804"/>
        </w:tabs>
        <w:jc w:val="both"/>
      </w:pPr>
    </w:p>
    <w:p w14:paraId="7715E3F1" w14:textId="77777777" w:rsidR="00360AA1" w:rsidRDefault="00360AA1" w:rsidP="005D2CB1">
      <w:pPr>
        <w:tabs>
          <w:tab w:val="left" w:pos="5670"/>
          <w:tab w:val="left" w:pos="6804"/>
        </w:tabs>
        <w:jc w:val="both"/>
      </w:pPr>
    </w:p>
    <w:p w14:paraId="4CD8F911" w14:textId="77777777" w:rsidR="00360AA1" w:rsidRDefault="00360AA1" w:rsidP="005D2CB1">
      <w:pPr>
        <w:tabs>
          <w:tab w:val="left" w:pos="5670"/>
          <w:tab w:val="left" w:pos="6804"/>
        </w:tabs>
        <w:jc w:val="both"/>
      </w:pPr>
    </w:p>
    <w:p w14:paraId="55C915C8" w14:textId="1DD699DA" w:rsidR="005D2CB1" w:rsidRDefault="005D2CB1" w:rsidP="005D2CB1">
      <w:pPr>
        <w:tabs>
          <w:tab w:val="left" w:pos="5670"/>
          <w:tab w:val="left" w:pos="6804"/>
        </w:tabs>
        <w:jc w:val="both"/>
      </w:pPr>
      <w:r>
        <w:t xml:space="preserve">L’article 25-2 de la loi n° 2021-1729 du 22 décembre 2021 pour la confiance dans l’institution judiciaire prévoit que les </w:t>
      </w:r>
      <w:r w:rsidR="00876293">
        <w:t>C</w:t>
      </w:r>
      <w:r>
        <w:t xml:space="preserve">entres </w:t>
      </w:r>
      <w:r w:rsidR="00876293">
        <w:t xml:space="preserve">Départementaux </w:t>
      </w:r>
      <w:r>
        <w:t xml:space="preserve">de </w:t>
      </w:r>
      <w:r w:rsidR="00876293">
        <w:t>G</w:t>
      </w:r>
      <w:r>
        <w:t>estion doivent assurer par convention, à la demande des collectivités territoriales et de leurs établissements publics, une mission de Médiation Préalable Obligatoire (MPO) prévue à l’article L213-11 du Code de justice administrative, pour les agents qui contestent une décision de l’autorité territoriale.</w:t>
      </w:r>
    </w:p>
    <w:p w14:paraId="1E5576CB" w14:textId="77777777" w:rsidR="005D2CB1" w:rsidRPr="00BA0698" w:rsidRDefault="005D2CB1" w:rsidP="005D2CB1">
      <w:pPr>
        <w:jc w:val="both"/>
        <w:rPr>
          <w:sz w:val="18"/>
          <w:szCs w:val="18"/>
        </w:rPr>
      </w:pPr>
    </w:p>
    <w:p w14:paraId="4FBB1B1E" w14:textId="43803477" w:rsidR="005D2CB1" w:rsidRDefault="005D2CB1" w:rsidP="005D2CB1">
      <w:pPr>
        <w:tabs>
          <w:tab w:val="left" w:pos="5670"/>
          <w:tab w:val="left" w:pos="6804"/>
        </w:tabs>
        <w:jc w:val="both"/>
      </w:pPr>
      <w:r>
        <w:t>Cette mission est mutualisée entre les six Centres Départementaux de la Région Centre-Val de Loire et placée auprès de la Coordination depuis le 1</w:t>
      </w:r>
      <w:r w:rsidRPr="005D2CB1">
        <w:rPr>
          <w:vertAlign w:val="superscript"/>
        </w:rPr>
        <w:t>er</w:t>
      </w:r>
      <w:r>
        <w:t xml:space="preserve"> juillet 2023,</w:t>
      </w:r>
      <w:r w:rsidRPr="00D22808">
        <w:t xml:space="preserve"> </w:t>
      </w:r>
      <w:r>
        <w:t>avec le déport de principe de la réalisation des médiations, dans un autre département que celui dans lequel exercent les protagonistes</w:t>
      </w:r>
      <w:r w:rsidRPr="005D2CB1">
        <w:t xml:space="preserve"> </w:t>
      </w:r>
      <w:r w:rsidRPr="0049018D">
        <w:t>pour garantir indépendance et impartialité</w:t>
      </w:r>
      <w:r w:rsidR="00360AA1">
        <w:t xml:space="preserve"> et reconduite avec le nouveau Schéma de </w:t>
      </w:r>
      <w:r w:rsidR="00360AA1" w:rsidRPr="00360AA1">
        <w:t>régional de Coordination, de Mutualisation et de Spécialisation des Centres de Gestion de la Région Centre-Val de Loire</w:t>
      </w:r>
      <w:r w:rsidR="00360AA1">
        <w:t xml:space="preserve"> approuvé à l’unanimité par le Conseil d’Administration du Centre de Gestion de la Fonction Publique Territoriale de Loir-et-Cher par délibération n°</w:t>
      </w:r>
      <w:r w:rsidR="00360AA1" w:rsidRPr="00D935E5">
        <w:rPr>
          <w:rFonts w:ascii="Times New Roman" w:hAnsi="Times New Roman"/>
          <w:iCs/>
          <w:color w:val="000000"/>
          <w:sz w:val="22"/>
          <w:szCs w:val="22"/>
        </w:rPr>
        <w:t xml:space="preserve">32-2024 </w:t>
      </w:r>
      <w:r w:rsidR="00360AA1">
        <w:t>du 5 décembre 2024.</w:t>
      </w:r>
    </w:p>
    <w:p w14:paraId="4B073E62" w14:textId="77777777" w:rsidR="005D2CB1" w:rsidRDefault="005D2CB1" w:rsidP="005D2CB1">
      <w:pPr>
        <w:pStyle w:val="Paragraphedeliste"/>
        <w:spacing w:after="0" w:line="240" w:lineRule="auto"/>
        <w:ind w:left="0"/>
        <w:jc w:val="both"/>
        <w:rPr>
          <w:rFonts w:ascii="Arial" w:eastAsia="Times New Roman" w:hAnsi="Arial" w:cs="Arial"/>
          <w:sz w:val="20"/>
          <w:szCs w:val="20"/>
          <w:lang w:eastAsia="fr-FR"/>
        </w:rPr>
      </w:pPr>
    </w:p>
    <w:p w14:paraId="306DFB70" w14:textId="77777777" w:rsidR="007A1FE1" w:rsidRPr="00FD4054" w:rsidRDefault="007A1FE1" w:rsidP="007A1FE1">
      <w:pPr>
        <w:autoSpaceDE w:val="0"/>
        <w:autoSpaceDN w:val="0"/>
        <w:adjustRightInd w:val="0"/>
        <w:jc w:val="both"/>
        <w:rPr>
          <w:rFonts w:eastAsia="Calibri"/>
          <w:b/>
          <w:bCs/>
          <w:sz w:val="22"/>
          <w:szCs w:val="22"/>
        </w:rPr>
      </w:pPr>
      <w:r w:rsidRPr="00FD4054">
        <w:rPr>
          <w:rFonts w:eastAsia="Calibri"/>
          <w:b/>
          <w:bCs/>
          <w:sz w:val="22"/>
          <w:szCs w:val="22"/>
        </w:rPr>
        <w:t xml:space="preserve">Le déport de l’instruction </w:t>
      </w:r>
    </w:p>
    <w:p w14:paraId="3EB662A9" w14:textId="4F816F7F" w:rsidR="005D2CB1" w:rsidRDefault="005D2CB1" w:rsidP="005D2CB1">
      <w:pPr>
        <w:pStyle w:val="Paragraphedeliste"/>
        <w:spacing w:after="0" w:line="240" w:lineRule="auto"/>
        <w:ind w:left="0"/>
        <w:jc w:val="both"/>
        <w:rPr>
          <w:rFonts w:ascii="Arial" w:hAnsi="Arial" w:cs="Arial"/>
          <w:sz w:val="20"/>
          <w:szCs w:val="20"/>
        </w:rPr>
      </w:pPr>
      <w:r>
        <w:rPr>
          <w:rFonts w:ascii="Arial" w:hAnsi="Arial" w:cs="Arial"/>
          <w:sz w:val="20"/>
          <w:szCs w:val="20"/>
        </w:rPr>
        <w:t>L</w:t>
      </w:r>
      <w:r w:rsidRPr="0049018D">
        <w:rPr>
          <w:rFonts w:ascii="Arial" w:hAnsi="Arial" w:cs="Arial"/>
          <w:sz w:val="20"/>
          <w:szCs w:val="20"/>
        </w:rPr>
        <w:t xml:space="preserve">es centres de gestion </w:t>
      </w:r>
      <w:r>
        <w:rPr>
          <w:rFonts w:ascii="Arial" w:hAnsi="Arial" w:cs="Arial"/>
          <w:sz w:val="20"/>
          <w:szCs w:val="20"/>
        </w:rPr>
        <w:t xml:space="preserve">ont </w:t>
      </w:r>
      <w:r>
        <w:rPr>
          <w:rFonts w:ascii="Arial" w:eastAsia="Times New Roman" w:hAnsi="Arial" w:cs="Arial"/>
          <w:sz w:val="20"/>
          <w:szCs w:val="20"/>
          <w:lang w:eastAsia="fr-FR"/>
        </w:rPr>
        <w:t>l’</w:t>
      </w:r>
      <w:r w:rsidRPr="0049018D">
        <w:rPr>
          <w:rFonts w:ascii="Arial" w:hAnsi="Arial" w:cs="Arial"/>
          <w:sz w:val="20"/>
          <w:szCs w:val="20"/>
        </w:rPr>
        <w:t>oblig</w:t>
      </w:r>
      <w:r>
        <w:rPr>
          <w:rFonts w:ascii="Arial" w:hAnsi="Arial" w:cs="Arial"/>
          <w:sz w:val="20"/>
          <w:szCs w:val="20"/>
        </w:rPr>
        <w:t xml:space="preserve">ation de </w:t>
      </w:r>
      <w:r w:rsidRPr="0049018D">
        <w:rPr>
          <w:rFonts w:ascii="Arial" w:hAnsi="Arial" w:cs="Arial"/>
          <w:sz w:val="20"/>
          <w:szCs w:val="20"/>
        </w:rPr>
        <w:t>proposer, par convention, une mission de Médiation Préalable Obligatoire (MPO) prévue à l’article L</w:t>
      </w:r>
      <w:r w:rsidR="002B04C3">
        <w:rPr>
          <w:rFonts w:ascii="Arial" w:hAnsi="Arial" w:cs="Arial"/>
          <w:sz w:val="20"/>
          <w:szCs w:val="20"/>
        </w:rPr>
        <w:t xml:space="preserve"> </w:t>
      </w:r>
      <w:r w:rsidRPr="0049018D">
        <w:rPr>
          <w:rFonts w:ascii="Arial" w:hAnsi="Arial" w:cs="Arial"/>
          <w:sz w:val="20"/>
          <w:szCs w:val="20"/>
        </w:rPr>
        <w:t xml:space="preserve">213-11 du </w:t>
      </w:r>
      <w:r>
        <w:rPr>
          <w:rFonts w:ascii="Arial" w:hAnsi="Arial" w:cs="Arial"/>
          <w:sz w:val="20"/>
          <w:szCs w:val="20"/>
        </w:rPr>
        <w:t>C</w:t>
      </w:r>
      <w:r w:rsidRPr="0049018D">
        <w:rPr>
          <w:rFonts w:ascii="Arial" w:hAnsi="Arial" w:cs="Arial"/>
          <w:sz w:val="20"/>
          <w:szCs w:val="20"/>
        </w:rPr>
        <w:t>ode de justice administrative</w:t>
      </w:r>
      <w:r w:rsidR="00554AB5">
        <w:rPr>
          <w:rFonts w:ascii="Arial" w:hAnsi="Arial" w:cs="Arial"/>
          <w:sz w:val="20"/>
          <w:szCs w:val="20"/>
        </w:rPr>
        <w:t>. Pour sa mise en œuvre, une</w:t>
      </w:r>
      <w:r w:rsidR="00554AB5" w:rsidRPr="00554AB5">
        <w:rPr>
          <w:rFonts w:ascii="Arial" w:hAnsi="Arial" w:cs="Arial"/>
          <w:sz w:val="20"/>
          <w:szCs w:val="20"/>
        </w:rPr>
        <w:t xml:space="preserve"> convention de déport entre Centres de gestion de la région Centre-Val de Loire</w:t>
      </w:r>
      <w:r w:rsidR="00554AB5">
        <w:rPr>
          <w:rFonts w:ascii="Arial" w:hAnsi="Arial" w:cs="Arial"/>
          <w:sz w:val="20"/>
          <w:szCs w:val="20"/>
        </w:rPr>
        <w:t>,</w:t>
      </w:r>
      <w:r w:rsidR="00554AB5" w:rsidRPr="00554AB5">
        <w:rPr>
          <w:rFonts w:ascii="Arial" w:hAnsi="Arial" w:cs="Arial"/>
          <w:sz w:val="20"/>
          <w:szCs w:val="20"/>
        </w:rPr>
        <w:t xml:space="preserve"> pour la période courant du 1</w:t>
      </w:r>
      <w:r w:rsidR="00554AB5" w:rsidRPr="00554AB5">
        <w:rPr>
          <w:rFonts w:ascii="Arial" w:hAnsi="Arial" w:cs="Arial"/>
          <w:sz w:val="20"/>
          <w:szCs w:val="20"/>
          <w:vertAlign w:val="superscript"/>
        </w:rPr>
        <w:t>er</w:t>
      </w:r>
      <w:r w:rsidR="00554AB5" w:rsidRPr="00554AB5">
        <w:rPr>
          <w:rFonts w:ascii="Arial" w:hAnsi="Arial" w:cs="Arial"/>
          <w:sz w:val="20"/>
          <w:szCs w:val="20"/>
        </w:rPr>
        <w:t xml:space="preserve"> janvier 2025 au 31 décembre 2027,</w:t>
      </w:r>
      <w:r w:rsidR="00554AB5">
        <w:rPr>
          <w:rFonts w:ascii="Arial" w:hAnsi="Arial" w:cs="Arial"/>
          <w:sz w:val="20"/>
          <w:szCs w:val="20"/>
        </w:rPr>
        <w:t xml:space="preserve"> a été </w:t>
      </w:r>
      <w:r w:rsidR="00FD4054" w:rsidRPr="00FD4054">
        <w:rPr>
          <w:rFonts w:ascii="Arial" w:hAnsi="Arial" w:cs="Arial"/>
          <w:sz w:val="20"/>
          <w:szCs w:val="20"/>
        </w:rPr>
        <w:t>approuvé</w:t>
      </w:r>
      <w:r w:rsidR="00554AB5">
        <w:rPr>
          <w:rFonts w:ascii="Arial" w:hAnsi="Arial" w:cs="Arial"/>
          <w:sz w:val="20"/>
          <w:szCs w:val="20"/>
        </w:rPr>
        <w:t>e</w:t>
      </w:r>
      <w:r w:rsidR="00FD4054" w:rsidRPr="00FD4054">
        <w:rPr>
          <w:rFonts w:ascii="Arial" w:hAnsi="Arial" w:cs="Arial"/>
          <w:sz w:val="20"/>
          <w:szCs w:val="20"/>
        </w:rPr>
        <w:t xml:space="preserve"> à l’unanimité par le Conseil d’Administration du Centre de Gestion de la Fonction Publique Territoriale de Loir-et-Cher par délibération n°3</w:t>
      </w:r>
      <w:r w:rsidR="00FD4054">
        <w:rPr>
          <w:rFonts w:ascii="Arial" w:hAnsi="Arial" w:cs="Arial"/>
          <w:sz w:val="20"/>
          <w:szCs w:val="20"/>
        </w:rPr>
        <w:t>3</w:t>
      </w:r>
      <w:r w:rsidR="00FD4054" w:rsidRPr="00FD4054">
        <w:rPr>
          <w:rFonts w:ascii="Arial" w:hAnsi="Arial" w:cs="Arial"/>
          <w:sz w:val="20"/>
          <w:szCs w:val="20"/>
        </w:rPr>
        <w:t>-2024 du 5 décembre 2024.</w:t>
      </w:r>
    </w:p>
    <w:p w14:paraId="6C2557C0" w14:textId="77777777" w:rsidR="007A1FE1" w:rsidRDefault="007A1FE1" w:rsidP="005D2CB1">
      <w:pPr>
        <w:pStyle w:val="Paragraphedeliste"/>
        <w:spacing w:after="0" w:line="240" w:lineRule="auto"/>
        <w:ind w:left="0"/>
        <w:jc w:val="both"/>
        <w:rPr>
          <w:rFonts w:ascii="Arial" w:hAnsi="Arial" w:cs="Arial"/>
          <w:sz w:val="20"/>
          <w:szCs w:val="20"/>
        </w:rPr>
      </w:pPr>
    </w:p>
    <w:p w14:paraId="58D89D7B" w14:textId="4B22EF8E" w:rsidR="007A1FE1" w:rsidRDefault="007A1FE1" w:rsidP="007B4DB7">
      <w:pPr>
        <w:contextualSpacing/>
        <w:jc w:val="both"/>
        <w:rPr>
          <w:rFonts w:eastAsia="Calibri"/>
          <w:lang w:eastAsia="en-US"/>
        </w:rPr>
      </w:pPr>
      <w:r w:rsidRPr="006F1FCD">
        <w:rPr>
          <w:rFonts w:eastAsia="Calibri"/>
          <w:lang w:eastAsia="en-US"/>
        </w:rPr>
        <w:t>Le déport s’effectue donc ainsi :</w:t>
      </w:r>
    </w:p>
    <w:p w14:paraId="7FCB54F4" w14:textId="77777777" w:rsidR="00554AB5" w:rsidRPr="00554AB5" w:rsidRDefault="00554AB5" w:rsidP="007B4DB7">
      <w:pPr>
        <w:contextualSpacing/>
        <w:jc w:val="both"/>
        <w:rPr>
          <w:sz w:val="14"/>
          <w:szCs w:val="1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4"/>
      </w:tblGrid>
      <w:tr w:rsidR="007A1FE1" w:rsidRPr="002008F6" w14:paraId="02CE1FF8" w14:textId="77777777" w:rsidTr="008C535E">
        <w:trPr>
          <w:trHeight w:val="283"/>
          <w:jc w:val="center"/>
        </w:trPr>
        <w:tc>
          <w:tcPr>
            <w:tcW w:w="5529" w:type="dxa"/>
            <w:shd w:val="clear" w:color="auto" w:fill="DEEAF6" w:themeFill="accent1" w:themeFillTint="33"/>
            <w:vAlign w:val="center"/>
          </w:tcPr>
          <w:p w14:paraId="091E5A85" w14:textId="77777777" w:rsidR="007A1FE1" w:rsidRPr="002008F6" w:rsidRDefault="007A1FE1" w:rsidP="00D927CA">
            <w:pPr>
              <w:ind w:right="-66"/>
              <w:jc w:val="center"/>
              <w:rPr>
                <w:b/>
                <w:bCs/>
              </w:rPr>
            </w:pPr>
            <w:r w:rsidRPr="002008F6">
              <w:rPr>
                <w:b/>
                <w:bCs/>
              </w:rPr>
              <w:t>CDG saisi pour une MPO</w:t>
            </w:r>
          </w:p>
        </w:tc>
        <w:tc>
          <w:tcPr>
            <w:tcW w:w="3544" w:type="dxa"/>
            <w:shd w:val="clear" w:color="auto" w:fill="DEEAF6" w:themeFill="accent1" w:themeFillTint="33"/>
            <w:vAlign w:val="center"/>
          </w:tcPr>
          <w:p w14:paraId="6C8343D4" w14:textId="77777777" w:rsidR="007A1FE1" w:rsidRPr="002008F6" w:rsidRDefault="007A1FE1" w:rsidP="00D927CA">
            <w:pPr>
              <w:jc w:val="center"/>
              <w:rPr>
                <w:b/>
                <w:bCs/>
              </w:rPr>
            </w:pPr>
            <w:r w:rsidRPr="002008F6">
              <w:rPr>
                <w:b/>
                <w:bCs/>
              </w:rPr>
              <w:t>CDG qui assure la MPO</w:t>
            </w:r>
          </w:p>
        </w:tc>
      </w:tr>
      <w:tr w:rsidR="007A1FE1" w:rsidRPr="002008F6" w14:paraId="5F95B3B9" w14:textId="77777777" w:rsidTr="008C535E">
        <w:trPr>
          <w:trHeight w:val="283"/>
          <w:jc w:val="center"/>
        </w:trPr>
        <w:tc>
          <w:tcPr>
            <w:tcW w:w="5529" w:type="dxa"/>
            <w:shd w:val="clear" w:color="auto" w:fill="auto"/>
            <w:vAlign w:val="center"/>
          </w:tcPr>
          <w:p w14:paraId="38AD1BA0" w14:textId="77777777" w:rsidR="007A1FE1" w:rsidRPr="002008F6" w:rsidRDefault="007A1FE1" w:rsidP="00D927CA">
            <w:pPr>
              <w:jc w:val="center"/>
            </w:pPr>
            <w:r w:rsidRPr="002008F6">
              <w:t>CDG 18</w:t>
            </w:r>
          </w:p>
        </w:tc>
        <w:tc>
          <w:tcPr>
            <w:tcW w:w="3544" w:type="dxa"/>
            <w:shd w:val="clear" w:color="auto" w:fill="auto"/>
            <w:vAlign w:val="center"/>
          </w:tcPr>
          <w:p w14:paraId="64099B3F" w14:textId="77777777" w:rsidR="007A1FE1" w:rsidRPr="002008F6" w:rsidRDefault="007A1FE1" w:rsidP="00D927CA">
            <w:pPr>
              <w:jc w:val="center"/>
            </w:pPr>
            <w:r w:rsidRPr="002008F6">
              <w:t>CDG 36</w:t>
            </w:r>
          </w:p>
        </w:tc>
      </w:tr>
      <w:tr w:rsidR="007A1FE1" w:rsidRPr="002008F6" w14:paraId="78F14297" w14:textId="77777777" w:rsidTr="008C535E">
        <w:trPr>
          <w:trHeight w:val="283"/>
          <w:jc w:val="center"/>
        </w:trPr>
        <w:tc>
          <w:tcPr>
            <w:tcW w:w="5529" w:type="dxa"/>
            <w:shd w:val="clear" w:color="auto" w:fill="auto"/>
            <w:vAlign w:val="center"/>
          </w:tcPr>
          <w:p w14:paraId="0D1CB95F" w14:textId="77777777" w:rsidR="007A1FE1" w:rsidRPr="002008F6" w:rsidRDefault="007A1FE1" w:rsidP="00D927CA">
            <w:pPr>
              <w:jc w:val="center"/>
            </w:pPr>
            <w:r w:rsidRPr="002008F6">
              <w:t>CDG 28</w:t>
            </w:r>
          </w:p>
        </w:tc>
        <w:tc>
          <w:tcPr>
            <w:tcW w:w="3544" w:type="dxa"/>
            <w:shd w:val="clear" w:color="auto" w:fill="auto"/>
            <w:vAlign w:val="center"/>
          </w:tcPr>
          <w:p w14:paraId="220019FA" w14:textId="77777777" w:rsidR="007A1FE1" w:rsidRPr="002008F6" w:rsidRDefault="007A1FE1" w:rsidP="00D927CA">
            <w:pPr>
              <w:jc w:val="center"/>
            </w:pPr>
            <w:r w:rsidRPr="002008F6">
              <w:t>CDG 45</w:t>
            </w:r>
          </w:p>
        </w:tc>
      </w:tr>
      <w:tr w:rsidR="007A1FE1" w:rsidRPr="002008F6" w14:paraId="791E60BF" w14:textId="77777777" w:rsidTr="008C535E">
        <w:trPr>
          <w:trHeight w:val="283"/>
          <w:jc w:val="center"/>
        </w:trPr>
        <w:tc>
          <w:tcPr>
            <w:tcW w:w="5529" w:type="dxa"/>
            <w:shd w:val="clear" w:color="auto" w:fill="auto"/>
            <w:vAlign w:val="center"/>
          </w:tcPr>
          <w:p w14:paraId="5A949297" w14:textId="77777777" w:rsidR="007A1FE1" w:rsidRPr="002008F6" w:rsidRDefault="007A1FE1" w:rsidP="00D927CA">
            <w:pPr>
              <w:jc w:val="center"/>
            </w:pPr>
            <w:r w:rsidRPr="002008F6">
              <w:t>CDG 36</w:t>
            </w:r>
          </w:p>
        </w:tc>
        <w:tc>
          <w:tcPr>
            <w:tcW w:w="3544" w:type="dxa"/>
            <w:shd w:val="clear" w:color="auto" w:fill="auto"/>
            <w:vAlign w:val="center"/>
          </w:tcPr>
          <w:p w14:paraId="10C88EE3" w14:textId="77777777" w:rsidR="007A1FE1" w:rsidRPr="002008F6" w:rsidRDefault="007A1FE1" w:rsidP="00D927CA">
            <w:pPr>
              <w:jc w:val="center"/>
            </w:pPr>
            <w:r w:rsidRPr="002008F6">
              <w:t>CDG 37</w:t>
            </w:r>
          </w:p>
        </w:tc>
      </w:tr>
      <w:tr w:rsidR="007A1FE1" w:rsidRPr="002008F6" w14:paraId="26218C13" w14:textId="77777777" w:rsidTr="008C535E">
        <w:trPr>
          <w:trHeight w:val="283"/>
          <w:jc w:val="center"/>
        </w:trPr>
        <w:tc>
          <w:tcPr>
            <w:tcW w:w="5529" w:type="dxa"/>
            <w:tcBorders>
              <w:bottom w:val="single" w:sz="4" w:space="0" w:color="auto"/>
            </w:tcBorders>
            <w:shd w:val="clear" w:color="auto" w:fill="auto"/>
            <w:vAlign w:val="center"/>
          </w:tcPr>
          <w:p w14:paraId="1D7267C4" w14:textId="77777777" w:rsidR="007A1FE1" w:rsidRPr="002008F6" w:rsidRDefault="007A1FE1" w:rsidP="00D927CA">
            <w:pPr>
              <w:jc w:val="center"/>
            </w:pPr>
            <w:r w:rsidRPr="002008F6">
              <w:t>CDG 37</w:t>
            </w:r>
          </w:p>
        </w:tc>
        <w:tc>
          <w:tcPr>
            <w:tcW w:w="3544" w:type="dxa"/>
            <w:tcBorders>
              <w:bottom w:val="single" w:sz="4" w:space="0" w:color="auto"/>
            </w:tcBorders>
            <w:shd w:val="clear" w:color="auto" w:fill="auto"/>
            <w:vAlign w:val="center"/>
          </w:tcPr>
          <w:p w14:paraId="49037EBA" w14:textId="77777777" w:rsidR="007A1FE1" w:rsidRPr="002008F6" w:rsidRDefault="007A1FE1" w:rsidP="00D927CA">
            <w:pPr>
              <w:jc w:val="center"/>
            </w:pPr>
            <w:r w:rsidRPr="002008F6">
              <w:t>CDG 45</w:t>
            </w:r>
          </w:p>
        </w:tc>
      </w:tr>
      <w:tr w:rsidR="007A1FE1" w:rsidRPr="002008F6" w14:paraId="5D4AB311" w14:textId="77777777" w:rsidTr="008C535E">
        <w:trPr>
          <w:trHeight w:val="283"/>
          <w:jc w:val="center"/>
        </w:trPr>
        <w:tc>
          <w:tcPr>
            <w:tcW w:w="5529" w:type="dxa"/>
            <w:shd w:val="clear" w:color="auto" w:fill="D9D9D9"/>
            <w:vAlign w:val="center"/>
          </w:tcPr>
          <w:p w14:paraId="70077AF5" w14:textId="77777777" w:rsidR="007A1FE1" w:rsidRPr="002008F6" w:rsidRDefault="007A1FE1" w:rsidP="00D927CA">
            <w:pPr>
              <w:jc w:val="center"/>
            </w:pPr>
            <w:r w:rsidRPr="002008F6">
              <w:t>CDG 41</w:t>
            </w:r>
          </w:p>
        </w:tc>
        <w:tc>
          <w:tcPr>
            <w:tcW w:w="3544" w:type="dxa"/>
            <w:shd w:val="clear" w:color="auto" w:fill="D9D9D9"/>
            <w:vAlign w:val="center"/>
          </w:tcPr>
          <w:p w14:paraId="6A0502D6" w14:textId="77777777" w:rsidR="007A1FE1" w:rsidRPr="002008F6" w:rsidRDefault="007A1FE1" w:rsidP="00D927CA">
            <w:pPr>
              <w:ind w:hanging="250"/>
              <w:jc w:val="center"/>
            </w:pPr>
            <w:r w:rsidRPr="002008F6">
              <w:t>CDG 37</w:t>
            </w:r>
          </w:p>
        </w:tc>
      </w:tr>
      <w:tr w:rsidR="007A1FE1" w:rsidRPr="002008F6" w14:paraId="41764402" w14:textId="77777777" w:rsidTr="008C535E">
        <w:trPr>
          <w:trHeight w:val="283"/>
          <w:jc w:val="center"/>
        </w:trPr>
        <w:tc>
          <w:tcPr>
            <w:tcW w:w="5529" w:type="dxa"/>
            <w:shd w:val="clear" w:color="auto" w:fill="auto"/>
            <w:vAlign w:val="center"/>
          </w:tcPr>
          <w:p w14:paraId="15C47F86" w14:textId="77777777" w:rsidR="007A1FE1" w:rsidRPr="002008F6" w:rsidRDefault="007A1FE1" w:rsidP="00D927CA">
            <w:pPr>
              <w:jc w:val="center"/>
            </w:pPr>
            <w:r w:rsidRPr="002008F6">
              <w:t>CDG 45</w:t>
            </w:r>
          </w:p>
        </w:tc>
        <w:tc>
          <w:tcPr>
            <w:tcW w:w="3544" w:type="dxa"/>
            <w:shd w:val="clear" w:color="auto" w:fill="auto"/>
            <w:vAlign w:val="center"/>
          </w:tcPr>
          <w:p w14:paraId="2E5D042F" w14:textId="77777777" w:rsidR="007A1FE1" w:rsidRPr="002008F6" w:rsidRDefault="007A1FE1" w:rsidP="00D927CA">
            <w:pPr>
              <w:jc w:val="center"/>
            </w:pPr>
            <w:r w:rsidRPr="002008F6">
              <w:t>CDG 28 / 36, selon le volume</w:t>
            </w:r>
          </w:p>
        </w:tc>
      </w:tr>
    </w:tbl>
    <w:p w14:paraId="0BE9B347" w14:textId="77777777" w:rsidR="007A1FE1" w:rsidRDefault="007A1FE1" w:rsidP="005D2CB1">
      <w:pPr>
        <w:pStyle w:val="Paragraphedeliste"/>
        <w:spacing w:after="0" w:line="240" w:lineRule="auto"/>
        <w:ind w:left="0"/>
        <w:jc w:val="both"/>
        <w:rPr>
          <w:rFonts w:ascii="Arial" w:hAnsi="Arial" w:cs="Arial"/>
          <w:sz w:val="20"/>
          <w:szCs w:val="20"/>
        </w:rPr>
      </w:pPr>
    </w:p>
    <w:p w14:paraId="0D9ECF34" w14:textId="1BD62AF5" w:rsidR="007A1FE1" w:rsidRDefault="005D2CB1" w:rsidP="007A1FE1">
      <w:pPr>
        <w:autoSpaceDE w:val="0"/>
        <w:autoSpaceDN w:val="0"/>
        <w:adjustRightInd w:val="0"/>
        <w:jc w:val="both"/>
      </w:pPr>
      <w:r w:rsidRPr="007A1FE1">
        <w:rPr>
          <w:b/>
          <w:bCs/>
        </w:rPr>
        <w:t xml:space="preserve">La procédure de </w:t>
      </w:r>
      <w:r w:rsidR="007A1FE1">
        <w:rPr>
          <w:b/>
          <w:bCs/>
        </w:rPr>
        <w:t>Médiation Préalable Obligatoire (</w:t>
      </w:r>
      <w:r w:rsidRPr="007A1FE1">
        <w:rPr>
          <w:b/>
          <w:bCs/>
        </w:rPr>
        <w:t>MPO</w:t>
      </w:r>
      <w:r w:rsidR="007A1FE1">
        <w:rPr>
          <w:b/>
          <w:bCs/>
        </w:rPr>
        <w:t>)</w:t>
      </w:r>
      <w:r w:rsidRPr="000F1D35">
        <w:t xml:space="preserve"> </w:t>
      </w:r>
    </w:p>
    <w:p w14:paraId="596015D5" w14:textId="30E348AB" w:rsidR="005D2CB1" w:rsidRDefault="007A1FE1" w:rsidP="007A1FE1">
      <w:pPr>
        <w:autoSpaceDE w:val="0"/>
        <w:autoSpaceDN w:val="0"/>
        <w:adjustRightInd w:val="0"/>
        <w:jc w:val="both"/>
      </w:pPr>
      <w:r>
        <w:t xml:space="preserve">Elle </w:t>
      </w:r>
      <w:r w:rsidR="005D2CB1" w:rsidRPr="000F1D35">
        <w:t>est applicable aux recours formés par les agents publics à l’encontre des décisions administratives suivantes</w:t>
      </w:r>
      <w:r w:rsidR="005D2CB1">
        <w:t xml:space="preserve"> et selon certaines conditions</w:t>
      </w:r>
      <w:r w:rsidR="005D2CB1" w:rsidRPr="000F1D35">
        <w:t> :</w:t>
      </w:r>
    </w:p>
    <w:p w14:paraId="563280D1" w14:textId="77777777" w:rsidR="005D2CB1" w:rsidRDefault="005D2CB1" w:rsidP="005D2CB1">
      <w:pPr>
        <w:tabs>
          <w:tab w:val="left" w:pos="1418"/>
        </w:tabs>
        <w:spacing w:before="120"/>
        <w:ind w:right="140"/>
        <w:jc w:val="both"/>
      </w:pPr>
      <w:r w:rsidRPr="00876293">
        <w:rPr>
          <w:b/>
          <w:bCs/>
        </w:rPr>
        <w:t>1°</w:t>
      </w:r>
      <w:r w:rsidRPr="000F1D35">
        <w:t xml:space="preserve"> Décisions administratives individuelles défavorables relatives à l'un des éléments de rémunération mentionnés à l'article L712-1 du </w:t>
      </w:r>
      <w:r>
        <w:t>C</w:t>
      </w:r>
      <w:r w:rsidRPr="000F1D35">
        <w:t>ode général de la fonction publique ;</w:t>
      </w:r>
    </w:p>
    <w:p w14:paraId="6A84B61A" w14:textId="77777777" w:rsidR="005D2CB1" w:rsidRDefault="005D2CB1" w:rsidP="005D2CB1">
      <w:pPr>
        <w:pStyle w:val="Paragraphedeliste"/>
        <w:spacing w:before="120" w:after="0" w:line="240" w:lineRule="auto"/>
        <w:ind w:left="0"/>
        <w:contextualSpacing w:val="0"/>
        <w:jc w:val="both"/>
        <w:rPr>
          <w:rFonts w:ascii="Arial" w:hAnsi="Arial" w:cs="Arial"/>
          <w:sz w:val="20"/>
          <w:szCs w:val="20"/>
        </w:rPr>
      </w:pPr>
      <w:r w:rsidRPr="00876293">
        <w:rPr>
          <w:rFonts w:ascii="Arial" w:hAnsi="Arial" w:cs="Arial"/>
          <w:b/>
          <w:bCs/>
          <w:sz w:val="20"/>
          <w:szCs w:val="20"/>
        </w:rPr>
        <w:t>2°</w:t>
      </w:r>
      <w:r w:rsidRPr="000F1D35">
        <w:rPr>
          <w:rFonts w:ascii="Arial" w:hAnsi="Arial" w:cs="Arial"/>
          <w:sz w:val="20"/>
          <w:szCs w:val="20"/>
        </w:rPr>
        <w:t xml:space="preserve"> Refus de détachement ou de placement en disponibilité et, pour les agents contractuels, refus de congés non rémunérés prévus aux articles 20, 22, 23 et 33-2 du décret du 17 janvier 1986 et 15, 17, 18 et 35-2 du décret du 15 février 1988 ;</w:t>
      </w:r>
    </w:p>
    <w:p w14:paraId="004AFE08" w14:textId="77777777" w:rsidR="005D2CB1" w:rsidRDefault="005D2CB1" w:rsidP="005D2CB1">
      <w:pPr>
        <w:pStyle w:val="Paragraphedeliste"/>
        <w:spacing w:before="120" w:after="0" w:line="240" w:lineRule="auto"/>
        <w:ind w:left="0"/>
        <w:contextualSpacing w:val="0"/>
        <w:jc w:val="both"/>
        <w:rPr>
          <w:rFonts w:ascii="Arial" w:hAnsi="Arial" w:cs="Arial"/>
          <w:sz w:val="20"/>
          <w:szCs w:val="20"/>
        </w:rPr>
      </w:pPr>
      <w:r w:rsidRPr="00876293">
        <w:rPr>
          <w:rFonts w:ascii="Arial" w:hAnsi="Arial" w:cs="Arial"/>
          <w:b/>
          <w:bCs/>
          <w:sz w:val="20"/>
          <w:szCs w:val="20"/>
        </w:rPr>
        <w:t>3°</w:t>
      </w:r>
      <w:r w:rsidRPr="000F1D35">
        <w:rPr>
          <w:rFonts w:ascii="Arial" w:hAnsi="Arial" w:cs="Arial"/>
          <w:sz w:val="20"/>
          <w:szCs w:val="20"/>
        </w:rPr>
        <w:t xml:space="preserve"> Décisions administratives individuelles défavorables relatives à la réintégration à l'issue d'un détachement, d'un placement en disponibilité ou d'un congé parental ou relatives au réemploi d'un agent contractuel à l'issue d'un congé non rémunéré ;</w:t>
      </w:r>
    </w:p>
    <w:p w14:paraId="580032AD" w14:textId="77777777" w:rsidR="005D2CB1" w:rsidRDefault="005D2CB1" w:rsidP="005D2CB1">
      <w:pPr>
        <w:pStyle w:val="Paragraphedeliste"/>
        <w:spacing w:before="120" w:after="0" w:line="240" w:lineRule="auto"/>
        <w:ind w:left="0"/>
        <w:contextualSpacing w:val="0"/>
        <w:jc w:val="both"/>
        <w:rPr>
          <w:rFonts w:ascii="Arial" w:hAnsi="Arial" w:cs="Arial"/>
          <w:sz w:val="20"/>
          <w:szCs w:val="20"/>
        </w:rPr>
      </w:pPr>
      <w:r w:rsidRPr="00876293">
        <w:rPr>
          <w:rFonts w:ascii="Arial" w:hAnsi="Arial" w:cs="Arial"/>
          <w:b/>
          <w:bCs/>
          <w:sz w:val="20"/>
          <w:szCs w:val="20"/>
        </w:rPr>
        <w:t>4°</w:t>
      </w:r>
      <w:r w:rsidRPr="000F1D35">
        <w:rPr>
          <w:rFonts w:ascii="Arial" w:hAnsi="Arial" w:cs="Arial"/>
          <w:sz w:val="20"/>
          <w:szCs w:val="20"/>
        </w:rPr>
        <w:t xml:space="preserve"> Décisions administratives individuelles défavorables relatives au classement de l'agent à l'issue d'un avancement de grade ou d'un changement de corps ou cadre d'emploi obtenu par promotion interne ;</w:t>
      </w:r>
    </w:p>
    <w:p w14:paraId="1AA4F26A" w14:textId="77777777" w:rsidR="005D2CB1" w:rsidRDefault="005D2CB1" w:rsidP="005D2CB1">
      <w:pPr>
        <w:pStyle w:val="Paragraphedeliste"/>
        <w:spacing w:before="120" w:after="0" w:line="240" w:lineRule="auto"/>
        <w:ind w:left="0"/>
        <w:contextualSpacing w:val="0"/>
        <w:jc w:val="both"/>
        <w:rPr>
          <w:rFonts w:ascii="Arial" w:hAnsi="Arial" w:cs="Arial"/>
          <w:sz w:val="20"/>
          <w:szCs w:val="20"/>
        </w:rPr>
      </w:pPr>
      <w:r w:rsidRPr="00876293">
        <w:rPr>
          <w:rFonts w:ascii="Arial" w:hAnsi="Arial" w:cs="Arial"/>
          <w:b/>
          <w:bCs/>
          <w:sz w:val="20"/>
          <w:szCs w:val="20"/>
        </w:rPr>
        <w:t>5°</w:t>
      </w:r>
      <w:r w:rsidRPr="000F1D35">
        <w:rPr>
          <w:rFonts w:ascii="Arial" w:hAnsi="Arial" w:cs="Arial"/>
          <w:sz w:val="20"/>
          <w:szCs w:val="20"/>
        </w:rPr>
        <w:t xml:space="preserve"> Décisions administratives individuelles défavorables relatives à la formation professionnelle tout au long de la vie ;</w:t>
      </w:r>
    </w:p>
    <w:p w14:paraId="44F48D05" w14:textId="77777777" w:rsidR="005D2CB1" w:rsidRDefault="005D2CB1" w:rsidP="005D2CB1">
      <w:pPr>
        <w:pStyle w:val="Paragraphedeliste"/>
        <w:spacing w:before="120" w:after="0" w:line="240" w:lineRule="auto"/>
        <w:ind w:left="0"/>
        <w:contextualSpacing w:val="0"/>
        <w:jc w:val="both"/>
        <w:rPr>
          <w:rFonts w:ascii="Arial" w:hAnsi="Arial" w:cs="Arial"/>
          <w:sz w:val="20"/>
          <w:szCs w:val="20"/>
        </w:rPr>
      </w:pPr>
      <w:r w:rsidRPr="00876293">
        <w:rPr>
          <w:rFonts w:ascii="Arial" w:hAnsi="Arial" w:cs="Arial"/>
          <w:b/>
          <w:bCs/>
          <w:sz w:val="20"/>
          <w:szCs w:val="20"/>
        </w:rPr>
        <w:t>6°</w:t>
      </w:r>
      <w:r w:rsidRPr="000F1D35">
        <w:rPr>
          <w:rFonts w:ascii="Arial" w:hAnsi="Arial" w:cs="Arial"/>
          <w:sz w:val="20"/>
          <w:szCs w:val="20"/>
        </w:rPr>
        <w:t xml:space="preserve"> Décisions administratives individuelles défavorables relatives aux mesures appropriées prises par les employeurs publics à l'égard des travailleurs handicapés en application des articles L131-8 et L131-10 du </w:t>
      </w:r>
      <w:r>
        <w:rPr>
          <w:rFonts w:ascii="Arial" w:hAnsi="Arial" w:cs="Arial"/>
          <w:sz w:val="20"/>
          <w:szCs w:val="20"/>
        </w:rPr>
        <w:t>C</w:t>
      </w:r>
      <w:r w:rsidRPr="000F1D35">
        <w:rPr>
          <w:rFonts w:ascii="Arial" w:hAnsi="Arial" w:cs="Arial"/>
          <w:sz w:val="20"/>
          <w:szCs w:val="20"/>
        </w:rPr>
        <w:t>ode général de la fonction publique ;</w:t>
      </w:r>
    </w:p>
    <w:p w14:paraId="74D2E1B7" w14:textId="77777777" w:rsidR="005D2CB1" w:rsidRDefault="005D2CB1" w:rsidP="005D2CB1">
      <w:pPr>
        <w:pStyle w:val="Paragraphedeliste"/>
        <w:spacing w:before="120" w:after="0" w:line="240" w:lineRule="auto"/>
        <w:ind w:left="0"/>
        <w:contextualSpacing w:val="0"/>
        <w:jc w:val="both"/>
        <w:rPr>
          <w:rFonts w:ascii="Arial" w:hAnsi="Arial" w:cs="Arial"/>
          <w:sz w:val="20"/>
          <w:szCs w:val="20"/>
        </w:rPr>
      </w:pPr>
      <w:r w:rsidRPr="00876293">
        <w:rPr>
          <w:rFonts w:ascii="Arial" w:hAnsi="Arial" w:cs="Arial"/>
          <w:b/>
          <w:bCs/>
          <w:sz w:val="20"/>
          <w:szCs w:val="20"/>
        </w:rPr>
        <w:t>7°</w:t>
      </w:r>
      <w:r w:rsidRPr="000F1D35">
        <w:rPr>
          <w:rFonts w:ascii="Arial" w:hAnsi="Arial" w:cs="Arial"/>
          <w:sz w:val="20"/>
          <w:szCs w:val="20"/>
        </w:rPr>
        <w:t xml:space="preserve"> Décisions administratives individuelles défavorables concernant l'aménagement des conditions de travail des fonctionnaires qui ne sont plus en mesure d'exercer leurs fonctions dans les conditions prévues par les décrets du 30 novembre 1984 et du 30 septembre 1985. </w:t>
      </w:r>
    </w:p>
    <w:p w14:paraId="592A0EB5" w14:textId="77777777" w:rsidR="005D2CB1" w:rsidRPr="000F1D35" w:rsidRDefault="005D2CB1" w:rsidP="005D2CB1">
      <w:pPr>
        <w:pStyle w:val="Paragraphedeliste"/>
        <w:spacing w:after="0" w:line="240" w:lineRule="auto"/>
        <w:ind w:left="0"/>
        <w:jc w:val="both"/>
        <w:rPr>
          <w:rFonts w:ascii="Arial" w:hAnsi="Arial" w:cs="Arial"/>
          <w:sz w:val="20"/>
          <w:szCs w:val="20"/>
        </w:rPr>
      </w:pPr>
    </w:p>
    <w:p w14:paraId="3D831EE1" w14:textId="5F3780AB" w:rsidR="005D2CB1" w:rsidRDefault="005D2CB1" w:rsidP="005D2CB1">
      <w:pPr>
        <w:autoSpaceDE w:val="0"/>
        <w:autoSpaceDN w:val="0"/>
        <w:adjustRightInd w:val="0"/>
        <w:jc w:val="both"/>
        <w:rPr>
          <w:rFonts w:eastAsia="Calibri"/>
        </w:rPr>
      </w:pPr>
      <w:r w:rsidRPr="000F1D35">
        <w:rPr>
          <w:rFonts w:eastAsia="Calibri"/>
        </w:rPr>
        <w:t>Le médiateur organise la médiation (lieu, date et heure) dans des conditions favorisant un dialogue. Son rôle consiste à accompagner les parties dans la recherche d’un accord</w:t>
      </w:r>
      <w:r w:rsidR="00EE695D">
        <w:rPr>
          <w:rFonts w:eastAsia="Calibri"/>
        </w:rPr>
        <w:t> : i</w:t>
      </w:r>
      <w:r w:rsidRPr="000F1D35">
        <w:rPr>
          <w:rFonts w:eastAsia="Calibri"/>
        </w:rPr>
        <w:t xml:space="preserve">l n’est ni juge ni partie. </w:t>
      </w:r>
    </w:p>
    <w:p w14:paraId="6A447181" w14:textId="77777777" w:rsidR="005D2CB1" w:rsidRDefault="005D2CB1" w:rsidP="005D2CB1">
      <w:pPr>
        <w:autoSpaceDE w:val="0"/>
        <w:autoSpaceDN w:val="0"/>
        <w:adjustRightInd w:val="0"/>
        <w:jc w:val="both"/>
        <w:rPr>
          <w:rFonts w:eastAsia="Calibri"/>
        </w:rPr>
      </w:pPr>
    </w:p>
    <w:p w14:paraId="5EC364E9" w14:textId="77777777" w:rsidR="005D2CB1" w:rsidRPr="002050AC" w:rsidRDefault="005D2CB1" w:rsidP="00876293">
      <w:pPr>
        <w:autoSpaceDE w:val="0"/>
        <w:autoSpaceDN w:val="0"/>
        <w:adjustRightInd w:val="0"/>
        <w:jc w:val="both"/>
        <w:rPr>
          <w:rFonts w:ascii="Times New Roman" w:eastAsia="Calibri" w:hAnsi="Times New Roman"/>
          <w:color w:val="000000"/>
          <w:sz w:val="22"/>
          <w:szCs w:val="22"/>
        </w:rPr>
      </w:pPr>
      <w:r>
        <w:rPr>
          <w:rFonts w:eastAsia="Calibri"/>
        </w:rPr>
        <w:t>A</w:t>
      </w:r>
      <w:r w:rsidRPr="000F1D35">
        <w:rPr>
          <w:rFonts w:eastAsia="Calibri"/>
        </w:rPr>
        <w:t xml:space="preserve"> l’issue du processus de médiation, </w:t>
      </w:r>
      <w:r>
        <w:rPr>
          <w:rFonts w:eastAsia="Calibri"/>
        </w:rPr>
        <w:t>trois</w:t>
      </w:r>
      <w:r w:rsidRPr="000F1D35">
        <w:rPr>
          <w:rFonts w:eastAsia="Calibri"/>
        </w:rPr>
        <w:t xml:space="preserve"> solutions sont possibles :</w:t>
      </w:r>
    </w:p>
    <w:p w14:paraId="090332F0" w14:textId="77777777" w:rsidR="005D2CB1" w:rsidRPr="000F1D35" w:rsidRDefault="005D2CB1" w:rsidP="00876293">
      <w:pPr>
        <w:numPr>
          <w:ilvl w:val="0"/>
          <w:numId w:val="3"/>
        </w:numPr>
        <w:autoSpaceDE w:val="0"/>
        <w:autoSpaceDN w:val="0"/>
        <w:adjustRightInd w:val="0"/>
        <w:ind w:left="714" w:hanging="357"/>
        <w:jc w:val="both"/>
        <w:rPr>
          <w:rFonts w:eastAsia="Calibri"/>
        </w:rPr>
      </w:pPr>
      <w:proofErr w:type="gramStart"/>
      <w:r>
        <w:rPr>
          <w:rFonts w:eastAsia="Calibri"/>
        </w:rPr>
        <w:t>u</w:t>
      </w:r>
      <w:r w:rsidRPr="000F1D35">
        <w:rPr>
          <w:rFonts w:eastAsia="Calibri"/>
        </w:rPr>
        <w:t>n</w:t>
      </w:r>
      <w:proofErr w:type="gramEnd"/>
      <w:r w:rsidRPr="000F1D35">
        <w:rPr>
          <w:rFonts w:eastAsia="Calibri"/>
        </w:rPr>
        <w:t xml:space="preserve"> accord écrit est conclu par les parties</w:t>
      </w:r>
      <w:r>
        <w:rPr>
          <w:rFonts w:eastAsia="Calibri"/>
        </w:rPr>
        <w:t>,</w:t>
      </w:r>
    </w:p>
    <w:p w14:paraId="5AC5D111" w14:textId="24492B81" w:rsidR="005D2CB1" w:rsidRPr="000F1D35" w:rsidRDefault="005D2CB1" w:rsidP="00876293">
      <w:pPr>
        <w:numPr>
          <w:ilvl w:val="0"/>
          <w:numId w:val="3"/>
        </w:numPr>
        <w:autoSpaceDE w:val="0"/>
        <w:autoSpaceDN w:val="0"/>
        <w:adjustRightInd w:val="0"/>
        <w:jc w:val="both"/>
        <w:rPr>
          <w:rFonts w:eastAsia="Calibri"/>
        </w:rPr>
      </w:pPr>
      <w:proofErr w:type="gramStart"/>
      <w:r>
        <w:rPr>
          <w:rFonts w:eastAsia="Calibri"/>
        </w:rPr>
        <w:t>l</w:t>
      </w:r>
      <w:r w:rsidRPr="000F1D35">
        <w:rPr>
          <w:rFonts w:eastAsia="Calibri"/>
        </w:rPr>
        <w:t>’une</w:t>
      </w:r>
      <w:proofErr w:type="gramEnd"/>
      <w:r w:rsidRPr="000F1D35">
        <w:rPr>
          <w:rFonts w:eastAsia="Calibri"/>
        </w:rPr>
        <w:t xml:space="preserve"> ou l’autre des parties se désiste du processus de médiation</w:t>
      </w:r>
      <w:r w:rsidR="007B4DB7">
        <w:rPr>
          <w:rFonts w:eastAsia="Calibri"/>
        </w:rPr>
        <w:t xml:space="preserve"> : </w:t>
      </w:r>
      <w:r w:rsidRPr="000F1D35">
        <w:rPr>
          <w:rFonts w:eastAsia="Calibri"/>
        </w:rPr>
        <w:t>dans ce cas, le délai de recours contentieux recommence à courir</w:t>
      </w:r>
      <w:r>
        <w:rPr>
          <w:rFonts w:eastAsia="Calibri"/>
        </w:rPr>
        <w:t>,</w:t>
      </w:r>
    </w:p>
    <w:p w14:paraId="71F255A2" w14:textId="77777777" w:rsidR="005D2CB1" w:rsidRDefault="005D2CB1" w:rsidP="00876293">
      <w:pPr>
        <w:numPr>
          <w:ilvl w:val="0"/>
          <w:numId w:val="3"/>
        </w:numPr>
        <w:autoSpaceDE w:val="0"/>
        <w:autoSpaceDN w:val="0"/>
        <w:adjustRightInd w:val="0"/>
        <w:jc w:val="both"/>
        <w:rPr>
          <w:rFonts w:ascii="Times New Roman" w:eastAsia="Calibri" w:hAnsi="Times New Roman"/>
          <w:color w:val="000000"/>
          <w:sz w:val="22"/>
          <w:szCs w:val="22"/>
        </w:rPr>
      </w:pPr>
      <w:proofErr w:type="gramStart"/>
      <w:r>
        <w:rPr>
          <w:rFonts w:eastAsia="Calibri"/>
        </w:rPr>
        <w:t>l</w:t>
      </w:r>
      <w:r w:rsidRPr="000F1D35">
        <w:rPr>
          <w:rFonts w:eastAsia="Calibri"/>
        </w:rPr>
        <w:t>a</w:t>
      </w:r>
      <w:proofErr w:type="gramEnd"/>
      <w:r w:rsidRPr="000F1D35">
        <w:rPr>
          <w:rFonts w:eastAsia="Calibri"/>
        </w:rPr>
        <w:t xml:space="preserve"> fin d’office de la médiation</w:t>
      </w:r>
      <w:r>
        <w:rPr>
          <w:rFonts w:eastAsia="Calibri"/>
        </w:rPr>
        <w:t xml:space="preserve"> est </w:t>
      </w:r>
      <w:r w:rsidRPr="000F1D35">
        <w:rPr>
          <w:rFonts w:eastAsia="Calibri"/>
        </w:rPr>
        <w:t>prononcée par le médiateur</w:t>
      </w:r>
      <w:r>
        <w:rPr>
          <w:rFonts w:eastAsia="Calibri"/>
        </w:rPr>
        <w:t>.</w:t>
      </w:r>
      <w:r w:rsidRPr="007206C0">
        <w:rPr>
          <w:rFonts w:ascii="Times New Roman" w:eastAsia="Calibri" w:hAnsi="Times New Roman"/>
          <w:color w:val="000000"/>
          <w:sz w:val="22"/>
          <w:szCs w:val="22"/>
        </w:rPr>
        <w:t xml:space="preserve"> </w:t>
      </w:r>
    </w:p>
    <w:p w14:paraId="78CC2D98" w14:textId="77777777" w:rsidR="005D2CB1" w:rsidRDefault="005D2CB1" w:rsidP="005D2CB1">
      <w:pPr>
        <w:autoSpaceDE w:val="0"/>
        <w:autoSpaceDN w:val="0"/>
        <w:adjustRightInd w:val="0"/>
        <w:jc w:val="both"/>
        <w:rPr>
          <w:rFonts w:eastAsia="Calibri"/>
        </w:rPr>
      </w:pPr>
    </w:p>
    <w:p w14:paraId="4BFE2943" w14:textId="77777777" w:rsidR="005D2CB1" w:rsidRDefault="005D2CB1" w:rsidP="005D2CB1">
      <w:pPr>
        <w:autoSpaceDE w:val="0"/>
        <w:autoSpaceDN w:val="0"/>
        <w:adjustRightInd w:val="0"/>
        <w:jc w:val="both"/>
        <w:rPr>
          <w:rFonts w:eastAsia="Calibri"/>
        </w:rPr>
      </w:pPr>
      <w:r w:rsidRPr="007206C0">
        <w:rPr>
          <w:rFonts w:eastAsia="Calibri"/>
        </w:rPr>
        <w:t>Lorsque les parties ne sont pas parvenues à un accord, le juge peut être saisi d’un recours dans les conditions prévues par les textes en vigueur</w:t>
      </w:r>
      <w:r>
        <w:rPr>
          <w:rFonts w:eastAsia="Calibri"/>
        </w:rPr>
        <w:t>.</w:t>
      </w:r>
      <w:r w:rsidRPr="007206C0">
        <w:rPr>
          <w:rFonts w:eastAsia="Calibri"/>
        </w:rPr>
        <w:t xml:space="preserve"> </w:t>
      </w:r>
    </w:p>
    <w:p w14:paraId="7081D1B8" w14:textId="77777777" w:rsidR="005D2CB1" w:rsidRDefault="005D2CB1" w:rsidP="005D2CB1">
      <w:pPr>
        <w:autoSpaceDE w:val="0"/>
        <w:autoSpaceDN w:val="0"/>
        <w:adjustRightInd w:val="0"/>
        <w:jc w:val="both"/>
        <w:rPr>
          <w:rFonts w:eastAsia="Calibri"/>
        </w:rPr>
      </w:pPr>
    </w:p>
    <w:p w14:paraId="3F576CA4" w14:textId="77777777" w:rsidR="005D2CB1" w:rsidRPr="007206C0" w:rsidRDefault="005D2CB1" w:rsidP="005D2CB1">
      <w:pPr>
        <w:autoSpaceDE w:val="0"/>
        <w:autoSpaceDN w:val="0"/>
        <w:adjustRightInd w:val="0"/>
        <w:jc w:val="both"/>
        <w:rPr>
          <w:rFonts w:eastAsia="Calibri"/>
          <w:b/>
          <w:bCs/>
        </w:rPr>
      </w:pPr>
      <w:r w:rsidRPr="007206C0">
        <w:rPr>
          <w:rFonts w:eastAsia="Calibri"/>
          <w:b/>
          <w:bCs/>
        </w:rPr>
        <w:t>Les conditions financières</w:t>
      </w:r>
    </w:p>
    <w:p w14:paraId="455D02C2" w14:textId="22A2FE87" w:rsidR="009921EA" w:rsidRDefault="005D2CB1" w:rsidP="009921EA">
      <w:pPr>
        <w:autoSpaceDE w:val="0"/>
        <w:autoSpaceDN w:val="0"/>
        <w:adjustRightInd w:val="0"/>
        <w:spacing w:before="120"/>
        <w:jc w:val="both"/>
        <w:rPr>
          <w:rFonts w:eastAsia="Calibri"/>
        </w:rPr>
      </w:pPr>
      <w:r w:rsidRPr="007206C0">
        <w:rPr>
          <w:rFonts w:eastAsia="Calibri"/>
        </w:rPr>
        <w:t xml:space="preserve">La mission de </w:t>
      </w:r>
      <w:r>
        <w:rPr>
          <w:rFonts w:eastAsia="Calibri"/>
        </w:rPr>
        <w:t>M</w:t>
      </w:r>
      <w:r w:rsidRPr="007206C0">
        <w:rPr>
          <w:rFonts w:eastAsia="Calibri"/>
        </w:rPr>
        <w:t xml:space="preserve">édiation </w:t>
      </w:r>
      <w:r>
        <w:rPr>
          <w:rFonts w:eastAsia="Calibri"/>
        </w:rPr>
        <w:t>P</w:t>
      </w:r>
      <w:r w:rsidRPr="007206C0">
        <w:rPr>
          <w:rFonts w:eastAsia="Calibri"/>
        </w:rPr>
        <w:t xml:space="preserve">réalable </w:t>
      </w:r>
      <w:r>
        <w:rPr>
          <w:rFonts w:eastAsia="Calibri"/>
        </w:rPr>
        <w:t>O</w:t>
      </w:r>
      <w:r w:rsidRPr="007206C0">
        <w:rPr>
          <w:rFonts w:eastAsia="Calibri"/>
        </w:rPr>
        <w:t xml:space="preserve">bligatoire (MPO) conduite par le Centre </w:t>
      </w:r>
      <w:r w:rsidR="00590649">
        <w:rPr>
          <w:rFonts w:eastAsia="Calibri"/>
        </w:rPr>
        <w:t xml:space="preserve">Départemental </w:t>
      </w:r>
      <w:r w:rsidRPr="007206C0">
        <w:rPr>
          <w:rFonts w:eastAsia="Calibri"/>
        </w:rPr>
        <w:t xml:space="preserve">de </w:t>
      </w:r>
      <w:r>
        <w:rPr>
          <w:rFonts w:eastAsia="Calibri"/>
        </w:rPr>
        <w:t>G</w:t>
      </w:r>
      <w:r w:rsidRPr="007206C0">
        <w:rPr>
          <w:rFonts w:eastAsia="Calibri"/>
        </w:rPr>
        <w:t xml:space="preserve">estion entre dans le cadre des dispositions prévues </w:t>
      </w:r>
      <w:r>
        <w:rPr>
          <w:rFonts w:eastAsia="Calibri"/>
        </w:rPr>
        <w:t>à</w:t>
      </w:r>
      <w:r w:rsidRPr="007206C0">
        <w:rPr>
          <w:rFonts w:eastAsia="Calibri"/>
        </w:rPr>
        <w:t xml:space="preserve"> l’article L452-30 du Code général de la fonction publique et </w:t>
      </w:r>
      <w:r>
        <w:rPr>
          <w:rFonts w:eastAsia="Calibri"/>
        </w:rPr>
        <w:t>à</w:t>
      </w:r>
      <w:r w:rsidRPr="007206C0">
        <w:rPr>
          <w:rFonts w:eastAsia="Calibri"/>
        </w:rPr>
        <w:t xml:space="preserve"> l’article 25-2 de la loi n°</w:t>
      </w:r>
      <w:r>
        <w:rPr>
          <w:rFonts w:eastAsia="Calibri"/>
        </w:rPr>
        <w:t> </w:t>
      </w:r>
      <w:r w:rsidRPr="007206C0">
        <w:rPr>
          <w:rFonts w:eastAsia="Calibri"/>
        </w:rPr>
        <w:t xml:space="preserve">84-53 du 26 janvier 1984. </w:t>
      </w:r>
    </w:p>
    <w:p w14:paraId="0DC84F2E" w14:textId="77777777" w:rsidR="005D2CB1" w:rsidRDefault="005D2CB1" w:rsidP="005D2CB1">
      <w:pPr>
        <w:autoSpaceDE w:val="0"/>
        <w:autoSpaceDN w:val="0"/>
        <w:adjustRightInd w:val="0"/>
        <w:jc w:val="both"/>
        <w:rPr>
          <w:rFonts w:eastAsia="Calibri"/>
        </w:rPr>
      </w:pPr>
    </w:p>
    <w:p w14:paraId="58925839" w14:textId="19E2A7A3" w:rsidR="005D2CB1" w:rsidRDefault="005D2CB1" w:rsidP="00DB72D3">
      <w:pPr>
        <w:autoSpaceDE w:val="0"/>
        <w:autoSpaceDN w:val="0"/>
        <w:adjustRightInd w:val="0"/>
        <w:jc w:val="both"/>
        <w:rPr>
          <w:rFonts w:eastAsia="Calibri"/>
        </w:rPr>
      </w:pPr>
      <w:r>
        <w:rPr>
          <w:rFonts w:eastAsia="Calibri"/>
        </w:rPr>
        <w:t>A</w:t>
      </w:r>
      <w:r w:rsidRPr="007206C0">
        <w:rPr>
          <w:rFonts w:eastAsia="Calibri"/>
        </w:rPr>
        <w:t xml:space="preserve"> ce titre, le coût de ce service </w:t>
      </w:r>
      <w:r w:rsidR="00715904">
        <w:rPr>
          <w:rFonts w:eastAsia="Calibri"/>
        </w:rPr>
        <w:t xml:space="preserve">est </w:t>
      </w:r>
      <w:r w:rsidRPr="007206C0">
        <w:rPr>
          <w:rFonts w:eastAsia="Calibri"/>
        </w:rPr>
        <w:t>pris en charge par la collectivité ou l’établissement ayant saisi le médiateur</w:t>
      </w:r>
      <w:r>
        <w:rPr>
          <w:rFonts w:eastAsia="Calibri"/>
        </w:rPr>
        <w:t> :</w:t>
      </w:r>
    </w:p>
    <w:p w14:paraId="014F6B9C" w14:textId="452E2C23" w:rsidR="005D2CB1" w:rsidRPr="007206C0" w:rsidRDefault="005D2CB1" w:rsidP="00DB72D3">
      <w:pPr>
        <w:numPr>
          <w:ilvl w:val="0"/>
          <w:numId w:val="4"/>
        </w:numPr>
        <w:autoSpaceDE w:val="0"/>
        <w:autoSpaceDN w:val="0"/>
        <w:adjustRightInd w:val="0"/>
        <w:ind w:left="714" w:hanging="357"/>
        <w:jc w:val="both"/>
        <w:rPr>
          <w:rFonts w:eastAsia="Calibri"/>
        </w:rPr>
      </w:pPr>
      <w:r>
        <w:rPr>
          <w:rFonts w:eastAsia="Calibri"/>
        </w:rPr>
        <w:t>T</w:t>
      </w:r>
      <w:r w:rsidRPr="007206C0">
        <w:rPr>
          <w:rFonts w:eastAsia="Calibri"/>
        </w:rPr>
        <w:t>arif identique</w:t>
      </w:r>
      <w:r>
        <w:rPr>
          <w:rFonts w:eastAsia="Calibri"/>
        </w:rPr>
        <w:t xml:space="preserve"> annuel</w:t>
      </w:r>
      <w:r w:rsidRPr="007206C0">
        <w:rPr>
          <w:rFonts w:eastAsia="Calibri"/>
        </w:rPr>
        <w:t xml:space="preserve"> sur l</w:t>
      </w:r>
      <w:r w:rsidR="00BE6739">
        <w:rPr>
          <w:rFonts w:eastAsia="Calibri"/>
        </w:rPr>
        <w:t xml:space="preserve">’ensemble du </w:t>
      </w:r>
      <w:r w:rsidRPr="007206C0">
        <w:rPr>
          <w:rFonts w:eastAsia="Calibri"/>
        </w:rPr>
        <w:t>territoire régional</w:t>
      </w:r>
    </w:p>
    <w:p w14:paraId="5EDFFE89" w14:textId="4BC52D79" w:rsidR="005D2CB1" w:rsidRPr="007206C0" w:rsidRDefault="005D2CB1" w:rsidP="00DB72D3">
      <w:pPr>
        <w:numPr>
          <w:ilvl w:val="0"/>
          <w:numId w:val="4"/>
        </w:numPr>
        <w:autoSpaceDE w:val="0"/>
        <w:autoSpaceDN w:val="0"/>
        <w:adjustRightInd w:val="0"/>
        <w:ind w:left="714" w:hanging="357"/>
        <w:jc w:val="both"/>
        <w:rPr>
          <w:rFonts w:eastAsia="Calibri"/>
        </w:rPr>
      </w:pPr>
      <w:r w:rsidRPr="007206C0">
        <w:rPr>
          <w:rFonts w:eastAsia="Calibri"/>
        </w:rPr>
        <w:t>400</w:t>
      </w:r>
      <w:r w:rsidR="009A46D0">
        <w:rPr>
          <w:rFonts w:eastAsia="Calibri"/>
        </w:rPr>
        <w:t xml:space="preserve"> </w:t>
      </w:r>
      <w:r w:rsidRPr="007206C0">
        <w:rPr>
          <w:rFonts w:eastAsia="Calibri"/>
        </w:rPr>
        <w:t>€ par médiation pour les affiliés </w:t>
      </w:r>
    </w:p>
    <w:p w14:paraId="5234B6D2" w14:textId="666E46A2" w:rsidR="005D2CB1" w:rsidRPr="007206C0" w:rsidRDefault="005D2CB1" w:rsidP="00DB72D3">
      <w:pPr>
        <w:numPr>
          <w:ilvl w:val="0"/>
          <w:numId w:val="4"/>
        </w:numPr>
        <w:autoSpaceDE w:val="0"/>
        <w:autoSpaceDN w:val="0"/>
        <w:adjustRightInd w:val="0"/>
        <w:ind w:left="714" w:hanging="357"/>
        <w:jc w:val="both"/>
        <w:rPr>
          <w:rFonts w:eastAsia="Calibri"/>
        </w:rPr>
      </w:pPr>
      <w:r w:rsidRPr="007206C0">
        <w:rPr>
          <w:rFonts w:eastAsia="Calibri"/>
        </w:rPr>
        <w:t>500</w:t>
      </w:r>
      <w:r w:rsidR="009A46D0">
        <w:rPr>
          <w:rFonts w:eastAsia="Calibri"/>
        </w:rPr>
        <w:t xml:space="preserve"> </w:t>
      </w:r>
      <w:r w:rsidRPr="007206C0">
        <w:rPr>
          <w:rFonts w:eastAsia="Calibri"/>
        </w:rPr>
        <w:t>€ pour les non affiliés</w:t>
      </w:r>
    </w:p>
    <w:p w14:paraId="4B566E8E" w14:textId="0D478FB7" w:rsidR="005D2CB1" w:rsidRDefault="005D2CB1" w:rsidP="00DB72D3">
      <w:pPr>
        <w:numPr>
          <w:ilvl w:val="0"/>
          <w:numId w:val="4"/>
        </w:numPr>
        <w:autoSpaceDE w:val="0"/>
        <w:autoSpaceDN w:val="0"/>
        <w:adjustRightInd w:val="0"/>
        <w:ind w:left="714" w:hanging="357"/>
        <w:jc w:val="both"/>
        <w:rPr>
          <w:rFonts w:eastAsia="Calibri"/>
        </w:rPr>
      </w:pPr>
      <w:r w:rsidRPr="007206C0">
        <w:rPr>
          <w:rFonts w:eastAsia="Calibri"/>
        </w:rPr>
        <w:t xml:space="preserve">Si le temps passé </w:t>
      </w:r>
      <w:r w:rsidR="00BE6739">
        <w:rPr>
          <w:rFonts w:eastAsia="Calibri"/>
        </w:rPr>
        <w:t xml:space="preserve">est supérieur à une </w:t>
      </w:r>
      <w:r w:rsidR="00D15213">
        <w:rPr>
          <w:rFonts w:eastAsia="Calibri"/>
        </w:rPr>
        <w:t xml:space="preserve">durée de + de </w:t>
      </w:r>
      <w:r w:rsidRPr="007206C0">
        <w:rPr>
          <w:rFonts w:eastAsia="Calibri"/>
        </w:rPr>
        <w:t>8</w:t>
      </w:r>
      <w:r w:rsidR="00D15213">
        <w:rPr>
          <w:rFonts w:eastAsia="Calibri"/>
        </w:rPr>
        <w:t xml:space="preserve"> </w:t>
      </w:r>
      <w:r>
        <w:rPr>
          <w:rFonts w:eastAsia="Calibri"/>
        </w:rPr>
        <w:t>h</w:t>
      </w:r>
      <w:r w:rsidR="00D15213">
        <w:rPr>
          <w:rFonts w:eastAsia="Calibri"/>
        </w:rPr>
        <w:t>eures</w:t>
      </w:r>
      <w:r>
        <w:rPr>
          <w:rFonts w:eastAsia="Calibri"/>
        </w:rPr>
        <w:t xml:space="preserve"> : </w:t>
      </w:r>
      <w:r w:rsidRPr="007206C0">
        <w:rPr>
          <w:rFonts w:eastAsia="Calibri"/>
        </w:rPr>
        <w:t>coût supplémentaire de 50</w:t>
      </w:r>
      <w:r>
        <w:rPr>
          <w:rFonts w:eastAsia="Calibri"/>
        </w:rPr>
        <w:t>€</w:t>
      </w:r>
      <w:r w:rsidR="00DB72D3">
        <w:rPr>
          <w:rFonts w:eastAsia="Calibri"/>
        </w:rPr>
        <w:t>/</w:t>
      </w:r>
      <w:r>
        <w:rPr>
          <w:rFonts w:eastAsia="Calibri"/>
        </w:rPr>
        <w:t>heure.</w:t>
      </w:r>
    </w:p>
    <w:p w14:paraId="4DDC1660" w14:textId="77777777" w:rsidR="005D2CB1" w:rsidRDefault="005D2CB1" w:rsidP="005D2CB1">
      <w:pPr>
        <w:autoSpaceDE w:val="0"/>
        <w:autoSpaceDN w:val="0"/>
        <w:adjustRightInd w:val="0"/>
        <w:ind w:left="720"/>
        <w:jc w:val="both"/>
        <w:rPr>
          <w:rFonts w:eastAsia="Calibri"/>
        </w:rPr>
      </w:pPr>
    </w:p>
    <w:p w14:paraId="0F534415" w14:textId="64D4E695" w:rsidR="005D2CB1" w:rsidRDefault="009921EA" w:rsidP="009921EA">
      <w:pPr>
        <w:pStyle w:val="Paragraphedeliste"/>
        <w:spacing w:after="0" w:line="240" w:lineRule="auto"/>
        <w:ind w:left="0"/>
        <w:jc w:val="both"/>
      </w:pPr>
      <w:r>
        <w:rPr>
          <w:rFonts w:ascii="Arial" w:hAnsi="Arial" w:cs="Arial"/>
          <w:sz w:val="20"/>
          <w:szCs w:val="20"/>
        </w:rPr>
        <w:t>P</w:t>
      </w:r>
      <w:r w:rsidRPr="0049018D">
        <w:rPr>
          <w:rFonts w:ascii="Arial" w:hAnsi="Arial" w:cs="Arial"/>
          <w:sz w:val="20"/>
          <w:szCs w:val="20"/>
        </w:rPr>
        <w:t xml:space="preserve">our permettre </w:t>
      </w:r>
      <w:r>
        <w:rPr>
          <w:rFonts w:ascii="Arial" w:hAnsi="Arial" w:cs="Arial"/>
          <w:sz w:val="20"/>
          <w:szCs w:val="20"/>
        </w:rPr>
        <w:t xml:space="preserve">la mise en œuvre de cette mission préalable obligatoire (MPO) avec les collectivités et établissements publics de Loir-et-Cher, </w:t>
      </w:r>
      <w:r w:rsidRPr="0049018D">
        <w:rPr>
          <w:rFonts w:ascii="Arial" w:hAnsi="Arial" w:cs="Arial"/>
          <w:sz w:val="20"/>
          <w:szCs w:val="20"/>
        </w:rPr>
        <w:t>il est nécessaire de déterminer, par convention, les contours et la tarification de cette collaboration entre le</w:t>
      </w:r>
      <w:r>
        <w:rPr>
          <w:rFonts w:ascii="Arial" w:hAnsi="Arial" w:cs="Arial"/>
          <w:sz w:val="20"/>
          <w:szCs w:val="20"/>
        </w:rPr>
        <w:t xml:space="preserve"> </w:t>
      </w:r>
      <w:r w:rsidRPr="0049018D">
        <w:rPr>
          <w:rFonts w:ascii="Arial" w:hAnsi="Arial" w:cs="Arial"/>
          <w:sz w:val="20"/>
          <w:szCs w:val="20"/>
        </w:rPr>
        <w:t>Centre de Gestion</w:t>
      </w:r>
      <w:r>
        <w:rPr>
          <w:rFonts w:ascii="Arial" w:hAnsi="Arial" w:cs="Arial"/>
          <w:sz w:val="20"/>
          <w:szCs w:val="20"/>
        </w:rPr>
        <w:t xml:space="preserve"> de Loir-et-Cher et la collectivité ou établissement public demandeur</w:t>
      </w:r>
      <w:r w:rsidRPr="0049018D">
        <w:rPr>
          <w:rFonts w:ascii="Arial" w:hAnsi="Arial" w:cs="Arial"/>
          <w:sz w:val="20"/>
          <w:szCs w:val="20"/>
        </w:rPr>
        <w:t>.</w:t>
      </w:r>
      <w:r>
        <w:rPr>
          <w:rFonts w:ascii="Arial" w:hAnsi="Arial" w:cs="Arial"/>
          <w:sz w:val="20"/>
          <w:szCs w:val="20"/>
        </w:rPr>
        <w:t xml:space="preserve"> </w:t>
      </w:r>
      <w:r w:rsidR="005D2CB1" w:rsidRPr="00297494">
        <w:rPr>
          <w:rFonts w:ascii="Arial" w:hAnsi="Arial" w:cs="Arial"/>
          <w:sz w:val="20"/>
          <w:szCs w:val="20"/>
          <w:u w:val="single"/>
        </w:rPr>
        <w:t>La convention prend</w:t>
      </w:r>
      <w:r w:rsidRPr="00297494">
        <w:rPr>
          <w:rFonts w:ascii="Arial" w:hAnsi="Arial" w:cs="Arial"/>
          <w:sz w:val="20"/>
          <w:szCs w:val="20"/>
          <w:u w:val="single"/>
        </w:rPr>
        <w:t>r</w:t>
      </w:r>
      <w:r w:rsidR="005D2CB1" w:rsidRPr="00297494">
        <w:rPr>
          <w:rFonts w:ascii="Arial" w:hAnsi="Arial" w:cs="Arial"/>
          <w:sz w:val="20"/>
          <w:szCs w:val="20"/>
          <w:u w:val="single"/>
        </w:rPr>
        <w:t>a fin</w:t>
      </w:r>
      <w:r w:rsidRPr="00297494">
        <w:rPr>
          <w:rFonts w:ascii="Arial" w:hAnsi="Arial" w:cs="Arial"/>
          <w:sz w:val="20"/>
          <w:szCs w:val="20"/>
          <w:u w:val="single"/>
        </w:rPr>
        <w:t xml:space="preserve"> au plus tard</w:t>
      </w:r>
      <w:r w:rsidR="005D2CB1" w:rsidRPr="00297494">
        <w:rPr>
          <w:rFonts w:ascii="Arial" w:hAnsi="Arial" w:cs="Arial"/>
          <w:sz w:val="20"/>
          <w:szCs w:val="20"/>
          <w:u w:val="single"/>
        </w:rPr>
        <w:t xml:space="preserve"> le 3</w:t>
      </w:r>
      <w:r w:rsidR="00715904" w:rsidRPr="00297494">
        <w:rPr>
          <w:rFonts w:ascii="Arial" w:hAnsi="Arial" w:cs="Arial"/>
          <w:sz w:val="20"/>
          <w:szCs w:val="20"/>
          <w:u w:val="single"/>
        </w:rPr>
        <w:t>1 décembre 202</w:t>
      </w:r>
      <w:r w:rsidR="00297494" w:rsidRPr="00297494">
        <w:rPr>
          <w:rFonts w:ascii="Arial" w:hAnsi="Arial" w:cs="Arial"/>
          <w:sz w:val="20"/>
          <w:szCs w:val="20"/>
          <w:u w:val="single"/>
        </w:rPr>
        <w:t>7</w:t>
      </w:r>
      <w:r w:rsidR="005D2CB1" w:rsidRPr="009921EA">
        <w:rPr>
          <w:rFonts w:ascii="Arial" w:hAnsi="Arial" w:cs="Arial"/>
          <w:sz w:val="20"/>
          <w:szCs w:val="20"/>
        </w:rPr>
        <w:t>.</w:t>
      </w:r>
    </w:p>
    <w:p w14:paraId="7486D744" w14:textId="77777777" w:rsidR="007B4899" w:rsidRDefault="007B4899" w:rsidP="007B4899"/>
    <w:p w14:paraId="29E3250B" w14:textId="77777777" w:rsidR="00412AD4" w:rsidRDefault="00412AD4" w:rsidP="00412AD4">
      <w:pPr>
        <w:pStyle w:val="Default"/>
        <w:jc w:val="both"/>
        <w:rPr>
          <w:rFonts w:ascii="Arial" w:eastAsia="Calibri" w:hAnsi="Arial" w:cs="Arial"/>
          <w:color w:val="auto"/>
          <w:sz w:val="20"/>
          <w:szCs w:val="20"/>
          <w:lang w:eastAsia="en-US"/>
        </w:rPr>
      </w:pPr>
      <w:bookmarkStart w:id="0" w:name="_Hlk85629076"/>
      <w:r w:rsidRPr="00412AD4">
        <w:rPr>
          <w:rFonts w:ascii="Arial" w:eastAsia="Calibri" w:hAnsi="Arial" w:cs="Arial"/>
          <w:color w:val="auto"/>
          <w:sz w:val="20"/>
          <w:szCs w:val="20"/>
          <w:lang w:eastAsia="en-US"/>
        </w:rPr>
        <w:t>En vertu des dispositions législatives et réglementaires suivantes :</w:t>
      </w:r>
      <w:bookmarkEnd w:id="0"/>
    </w:p>
    <w:p w14:paraId="2869ED95" w14:textId="77777777" w:rsidR="00412AD4" w:rsidRPr="00412AD4" w:rsidRDefault="00412AD4" w:rsidP="00412AD4">
      <w:pPr>
        <w:pStyle w:val="Default"/>
        <w:jc w:val="both"/>
        <w:rPr>
          <w:rFonts w:ascii="Arial" w:eastAsia="Calibri" w:hAnsi="Arial" w:cs="Arial"/>
          <w:color w:val="auto"/>
          <w:sz w:val="20"/>
          <w:szCs w:val="20"/>
          <w:lang w:eastAsia="en-US"/>
        </w:rPr>
      </w:pPr>
    </w:p>
    <w:p w14:paraId="0A10DDE2" w14:textId="77777777" w:rsidR="00412AD4" w:rsidRPr="00412AD4" w:rsidRDefault="00412AD4" w:rsidP="00412AD4">
      <w:pPr>
        <w:jc w:val="both"/>
        <w:rPr>
          <w:rFonts w:eastAsia="Calibri"/>
          <w:lang w:eastAsia="en-US"/>
        </w:rPr>
      </w:pPr>
      <w:r w:rsidRPr="00412AD4">
        <w:rPr>
          <w:rFonts w:eastAsia="Calibri"/>
          <w:b/>
          <w:bCs/>
          <w:lang w:eastAsia="en-US"/>
        </w:rPr>
        <w:t>VU</w:t>
      </w:r>
      <w:r w:rsidRPr="00412AD4">
        <w:rPr>
          <w:rFonts w:eastAsia="Calibri"/>
          <w:lang w:eastAsia="en-US"/>
        </w:rPr>
        <w:t xml:space="preserve"> le Code de justice administrative (CJA) et notamment ses articles L.213-11 et suivants et R.213-10 et suivants,</w:t>
      </w:r>
    </w:p>
    <w:p w14:paraId="441CD422" w14:textId="77777777" w:rsidR="00412AD4" w:rsidRPr="00412AD4" w:rsidRDefault="00412AD4" w:rsidP="00412AD4">
      <w:pPr>
        <w:jc w:val="both"/>
        <w:rPr>
          <w:rFonts w:eastAsia="Calibri"/>
          <w:lang w:eastAsia="en-US"/>
        </w:rPr>
      </w:pPr>
      <w:r w:rsidRPr="00412AD4">
        <w:rPr>
          <w:rFonts w:eastAsia="Calibri"/>
          <w:b/>
          <w:bCs/>
          <w:lang w:eastAsia="en-US"/>
        </w:rPr>
        <w:t>VU</w:t>
      </w:r>
      <w:r w:rsidRPr="00412AD4">
        <w:rPr>
          <w:rFonts w:eastAsia="Calibri"/>
          <w:lang w:eastAsia="en-US"/>
        </w:rPr>
        <w:t xml:space="preserve"> l’article 25-2 de la loi n° 84-53 du 26 janvier 1984 portant dispositions statutaires relatives à la Fonction Publique Territoriale,</w:t>
      </w:r>
    </w:p>
    <w:p w14:paraId="2102FC90" w14:textId="77777777" w:rsidR="00412AD4" w:rsidRPr="00412AD4" w:rsidRDefault="00412AD4" w:rsidP="00412AD4">
      <w:pPr>
        <w:tabs>
          <w:tab w:val="left" w:leader="dot" w:pos="1701"/>
          <w:tab w:val="right" w:leader="dot" w:pos="3686"/>
          <w:tab w:val="right" w:leader="dot" w:pos="7371"/>
        </w:tabs>
        <w:jc w:val="both"/>
        <w:rPr>
          <w:rFonts w:eastAsia="Calibri"/>
          <w:lang w:eastAsia="en-US"/>
        </w:rPr>
      </w:pPr>
      <w:r w:rsidRPr="00412AD4">
        <w:rPr>
          <w:rFonts w:eastAsia="Calibri"/>
          <w:b/>
          <w:bCs/>
          <w:lang w:eastAsia="en-US"/>
        </w:rPr>
        <w:t>VU</w:t>
      </w:r>
      <w:r w:rsidRPr="00412AD4">
        <w:rPr>
          <w:rFonts w:eastAsia="Calibri"/>
          <w:lang w:eastAsia="en-US"/>
        </w:rPr>
        <w:t xml:space="preserve"> le décret n°85-643 du 26 juin 1985 modifié relatif aux Centres de Gestion institués par la Loi n° 84-53 du 26 janvier 1984 susvisée,</w:t>
      </w:r>
    </w:p>
    <w:p w14:paraId="0A9FDC7C" w14:textId="77777777" w:rsidR="00412AD4" w:rsidRPr="00412AD4" w:rsidRDefault="00412AD4" w:rsidP="00412AD4">
      <w:pPr>
        <w:tabs>
          <w:tab w:val="left" w:leader="dot" w:pos="1701"/>
          <w:tab w:val="right" w:leader="dot" w:pos="3686"/>
          <w:tab w:val="right" w:leader="dot" w:pos="7371"/>
        </w:tabs>
        <w:jc w:val="both"/>
        <w:rPr>
          <w:rFonts w:eastAsia="Calibri"/>
          <w:lang w:eastAsia="en-US"/>
        </w:rPr>
      </w:pPr>
      <w:bookmarkStart w:id="1" w:name="_Hlk134190369"/>
      <w:r w:rsidRPr="00412AD4">
        <w:rPr>
          <w:rFonts w:eastAsia="Calibri"/>
          <w:b/>
          <w:bCs/>
          <w:lang w:eastAsia="en-US"/>
        </w:rPr>
        <w:t>VU</w:t>
      </w:r>
      <w:r w:rsidRPr="00412AD4">
        <w:rPr>
          <w:rFonts w:eastAsia="Calibri"/>
          <w:lang w:eastAsia="en-US"/>
        </w:rPr>
        <w:t xml:space="preserve"> la Loi n°2021-1729 du 22 décembre 2021 pour la confiance dans l'institution judiciaire,</w:t>
      </w:r>
    </w:p>
    <w:bookmarkEnd w:id="1"/>
    <w:p w14:paraId="31DA2F0E" w14:textId="77777777" w:rsidR="00412AD4" w:rsidRPr="00412AD4" w:rsidRDefault="00412AD4" w:rsidP="00412AD4">
      <w:pPr>
        <w:jc w:val="both"/>
        <w:rPr>
          <w:rFonts w:eastAsia="Calibri"/>
          <w:lang w:eastAsia="en-US"/>
        </w:rPr>
      </w:pPr>
      <w:r w:rsidRPr="00412AD4">
        <w:rPr>
          <w:rFonts w:eastAsia="Calibri"/>
          <w:b/>
          <w:bCs/>
          <w:lang w:eastAsia="en-US"/>
        </w:rPr>
        <w:t>VU</w:t>
      </w:r>
      <w:r w:rsidRPr="00412AD4">
        <w:rPr>
          <w:rFonts w:eastAsia="Calibri"/>
          <w:lang w:eastAsia="en-US"/>
        </w:rPr>
        <w:t xml:space="preserve"> le décret n° 2022-433 du 25 mars 2022 relatif à la procédure de médiation préalable obligatoire applicable à certains litiges de la Fonction Publique et à certains litiges sociaux,</w:t>
      </w:r>
    </w:p>
    <w:p w14:paraId="1A4BF3CC" w14:textId="77777777" w:rsidR="00412AD4" w:rsidRPr="00412AD4" w:rsidRDefault="00412AD4" w:rsidP="00412AD4">
      <w:pPr>
        <w:jc w:val="both"/>
        <w:rPr>
          <w:rFonts w:eastAsia="Calibri"/>
          <w:lang w:eastAsia="en-US"/>
        </w:rPr>
      </w:pPr>
      <w:r w:rsidRPr="00412AD4">
        <w:rPr>
          <w:rFonts w:eastAsia="Calibri"/>
          <w:b/>
          <w:bCs/>
          <w:lang w:eastAsia="en-US"/>
        </w:rPr>
        <w:t>VU</w:t>
      </w:r>
      <w:r w:rsidRPr="00412AD4">
        <w:rPr>
          <w:rFonts w:eastAsia="Calibri"/>
          <w:lang w:eastAsia="en-US"/>
        </w:rPr>
        <w:t xml:space="preserve"> la Charte éthique des médiateurs dans les litiges administratifs du 17 décembre 2017 du Conseil d’Etat,</w:t>
      </w:r>
    </w:p>
    <w:p w14:paraId="6ED48610" w14:textId="77777777" w:rsidR="00412AD4" w:rsidRPr="00412AD4" w:rsidRDefault="00412AD4" w:rsidP="00412AD4">
      <w:pPr>
        <w:jc w:val="both"/>
        <w:rPr>
          <w:rFonts w:eastAsia="Calibri"/>
          <w:lang w:eastAsia="en-US"/>
        </w:rPr>
      </w:pPr>
      <w:r w:rsidRPr="00412AD4">
        <w:rPr>
          <w:rFonts w:eastAsia="Calibri"/>
          <w:b/>
          <w:bCs/>
          <w:lang w:eastAsia="en-US"/>
        </w:rPr>
        <w:t>VU</w:t>
      </w:r>
      <w:r w:rsidRPr="00412AD4">
        <w:rPr>
          <w:rFonts w:eastAsia="Calibri"/>
          <w:lang w:eastAsia="en-US"/>
        </w:rPr>
        <w:t xml:space="preserve"> la délibération n° 32-2024 du 5 décembre 2024 du Conseil d’Administration du Centre départemental de gestion de la fonction publique territoriale du Loir-et-Cher portant approbation du Schéma régional de Coordination, de Mutualisation et de Spécialisation des Centres de Gestion de la Région Centre-Val de Loire,</w:t>
      </w:r>
    </w:p>
    <w:p w14:paraId="6A28136A" w14:textId="3370D6FC" w:rsidR="00412AD4" w:rsidRDefault="00412AD4" w:rsidP="00412AD4">
      <w:pPr>
        <w:pStyle w:val="Default"/>
        <w:spacing w:before="120"/>
        <w:jc w:val="both"/>
        <w:rPr>
          <w:rFonts w:ascii="Arial" w:eastAsia="Calibri" w:hAnsi="Arial" w:cs="Arial"/>
          <w:color w:val="auto"/>
          <w:sz w:val="20"/>
          <w:szCs w:val="20"/>
          <w:lang w:eastAsia="en-US"/>
        </w:rPr>
      </w:pPr>
      <w:bookmarkStart w:id="2" w:name="_Hlk172017046"/>
      <w:r w:rsidRPr="00412AD4">
        <w:rPr>
          <w:rFonts w:ascii="Arial" w:eastAsia="Calibri" w:hAnsi="Arial" w:cs="Arial"/>
          <w:b/>
          <w:bCs/>
          <w:color w:val="auto"/>
          <w:sz w:val="20"/>
          <w:szCs w:val="20"/>
          <w:lang w:eastAsia="en-US"/>
        </w:rPr>
        <w:t xml:space="preserve">VU </w:t>
      </w:r>
      <w:r w:rsidRPr="00412AD4">
        <w:rPr>
          <w:rFonts w:ascii="Arial" w:eastAsia="Calibri" w:hAnsi="Arial" w:cs="Arial"/>
          <w:color w:val="auto"/>
          <w:sz w:val="20"/>
          <w:szCs w:val="20"/>
          <w:lang w:eastAsia="en-US"/>
        </w:rPr>
        <w:t xml:space="preserve">la délibération n° 33 -2024 du 5 décembre 2024 du Conseil d'Administration du Centre de Gestion de la </w:t>
      </w:r>
      <w:r>
        <w:rPr>
          <w:rFonts w:ascii="Arial" w:eastAsia="Calibri" w:hAnsi="Arial" w:cs="Arial"/>
          <w:color w:val="auto"/>
          <w:sz w:val="20"/>
          <w:szCs w:val="20"/>
          <w:lang w:eastAsia="en-US"/>
        </w:rPr>
        <w:t>F</w:t>
      </w:r>
      <w:r w:rsidRPr="00412AD4">
        <w:rPr>
          <w:rFonts w:ascii="Arial" w:eastAsia="Calibri" w:hAnsi="Arial" w:cs="Arial"/>
          <w:color w:val="auto"/>
          <w:sz w:val="20"/>
          <w:szCs w:val="20"/>
          <w:lang w:eastAsia="en-US"/>
        </w:rPr>
        <w:t xml:space="preserve">onction </w:t>
      </w:r>
      <w:r>
        <w:rPr>
          <w:rFonts w:ascii="Arial" w:eastAsia="Calibri" w:hAnsi="Arial" w:cs="Arial"/>
          <w:color w:val="auto"/>
          <w:sz w:val="20"/>
          <w:szCs w:val="20"/>
          <w:lang w:eastAsia="en-US"/>
        </w:rPr>
        <w:t>P</w:t>
      </w:r>
      <w:r w:rsidRPr="00412AD4">
        <w:rPr>
          <w:rFonts w:ascii="Arial" w:eastAsia="Calibri" w:hAnsi="Arial" w:cs="Arial"/>
          <w:color w:val="auto"/>
          <w:sz w:val="20"/>
          <w:szCs w:val="20"/>
          <w:lang w:eastAsia="en-US"/>
        </w:rPr>
        <w:t xml:space="preserve">ublique </w:t>
      </w:r>
      <w:r>
        <w:rPr>
          <w:rFonts w:ascii="Arial" w:eastAsia="Calibri" w:hAnsi="Arial" w:cs="Arial"/>
          <w:color w:val="auto"/>
          <w:sz w:val="20"/>
          <w:szCs w:val="20"/>
          <w:lang w:eastAsia="en-US"/>
        </w:rPr>
        <w:t>T</w:t>
      </w:r>
      <w:r w:rsidRPr="00412AD4">
        <w:rPr>
          <w:rFonts w:ascii="Arial" w:eastAsia="Calibri" w:hAnsi="Arial" w:cs="Arial"/>
          <w:color w:val="auto"/>
          <w:sz w:val="20"/>
          <w:szCs w:val="20"/>
          <w:lang w:eastAsia="en-US"/>
        </w:rPr>
        <w:t>erritoriale du Loir-et-Cher portant sur la convention de déport entre Centres de gestion de la région Centre-Val de Loire pour la période courant du 1er janvier 2025 au 31 décembre 2027</w:t>
      </w:r>
      <w:bookmarkEnd w:id="2"/>
      <w:r w:rsidRPr="00412AD4">
        <w:rPr>
          <w:rFonts w:ascii="Arial" w:eastAsia="Calibri" w:hAnsi="Arial" w:cs="Arial"/>
          <w:color w:val="auto"/>
          <w:sz w:val="20"/>
          <w:szCs w:val="20"/>
          <w:lang w:eastAsia="en-US"/>
        </w:rPr>
        <w:t>,</w:t>
      </w:r>
    </w:p>
    <w:p w14:paraId="1C00CC86" w14:textId="77777777" w:rsidR="00412AD4" w:rsidRPr="00412AD4" w:rsidRDefault="00412AD4" w:rsidP="00412AD4">
      <w:pPr>
        <w:pStyle w:val="Default"/>
        <w:spacing w:before="120"/>
        <w:jc w:val="both"/>
        <w:rPr>
          <w:rFonts w:ascii="Arial" w:eastAsia="Calibri" w:hAnsi="Arial" w:cs="Arial"/>
          <w:color w:val="auto"/>
          <w:sz w:val="20"/>
          <w:szCs w:val="20"/>
          <w:lang w:eastAsia="en-US"/>
        </w:rPr>
      </w:pPr>
    </w:p>
    <w:p w14:paraId="7C26FA3D" w14:textId="6ED6FC49" w:rsidR="009921EA" w:rsidRDefault="009921EA" w:rsidP="009921EA">
      <w:pPr>
        <w:jc w:val="both"/>
      </w:pPr>
      <w:r>
        <w:t xml:space="preserve">Il est proposé aux membres du </w:t>
      </w:r>
      <w:r w:rsidRPr="00EB4E4B">
        <w:t xml:space="preserve">Conseil </w:t>
      </w:r>
      <w:r>
        <w:t xml:space="preserve">Municipal </w:t>
      </w:r>
      <w:r w:rsidRPr="00EB4E4B">
        <w:t>:</w:t>
      </w:r>
    </w:p>
    <w:p w14:paraId="15A6B061" w14:textId="77777777" w:rsidR="0040222E" w:rsidRDefault="0040222E" w:rsidP="009921EA">
      <w:pPr>
        <w:jc w:val="both"/>
      </w:pPr>
    </w:p>
    <w:p w14:paraId="25864D80" w14:textId="45CAE877" w:rsidR="0040222E" w:rsidRDefault="0040222E" w:rsidP="0040222E">
      <w:pPr>
        <w:numPr>
          <w:ilvl w:val="0"/>
          <w:numId w:val="2"/>
        </w:numPr>
        <w:ind w:left="714" w:hanging="357"/>
        <w:jc w:val="both"/>
      </w:pPr>
      <w:proofErr w:type="gramStart"/>
      <w:r w:rsidRPr="003C4A39">
        <w:rPr>
          <w:b/>
          <w:bCs/>
        </w:rPr>
        <w:t>d’approuver</w:t>
      </w:r>
      <w:proofErr w:type="gramEnd"/>
      <w:r w:rsidRPr="003C4A39">
        <w:rPr>
          <w:b/>
          <w:bCs/>
        </w:rPr>
        <w:t xml:space="preserve"> </w:t>
      </w:r>
      <w:r w:rsidRPr="003C4A39">
        <w:t>le</w:t>
      </w:r>
      <w:r>
        <w:t xml:space="preserve"> recours </w:t>
      </w:r>
      <w:r w:rsidRPr="003C4A39">
        <w:t>à la mission de Médiation Préalable Obligatoire (MPO) entre le Centre</w:t>
      </w:r>
      <w:r w:rsidR="00BE6739">
        <w:t xml:space="preserve"> Départemental</w:t>
      </w:r>
      <w:r w:rsidRPr="003C4A39">
        <w:t xml:space="preserve"> de Gestion de Loir-et-Cher</w:t>
      </w:r>
      <w:r w:rsidR="00BE6739">
        <w:t xml:space="preserve"> (CDG41)</w:t>
      </w:r>
      <w:r w:rsidRPr="003C4A39">
        <w:t xml:space="preserve"> et </w:t>
      </w:r>
      <w:r w:rsidRPr="0040222E">
        <w:rPr>
          <w:highlight w:val="yellow"/>
        </w:rPr>
        <w:t>la commune/EPCI ….,</w:t>
      </w:r>
    </w:p>
    <w:p w14:paraId="5E74BDC6" w14:textId="6E61EBE4" w:rsidR="0040222E" w:rsidRDefault="00BE6739" w:rsidP="009921EA">
      <w:pPr>
        <w:jc w:val="both"/>
      </w:pPr>
      <w:r>
        <w:t xml:space="preserve"> </w:t>
      </w:r>
    </w:p>
    <w:p w14:paraId="7E5AF469" w14:textId="19BFE996" w:rsidR="009921EA" w:rsidRDefault="009921EA" w:rsidP="009921EA">
      <w:pPr>
        <w:numPr>
          <w:ilvl w:val="0"/>
          <w:numId w:val="2"/>
        </w:numPr>
        <w:ind w:left="714" w:hanging="357"/>
        <w:jc w:val="both"/>
      </w:pPr>
      <w:proofErr w:type="gramStart"/>
      <w:r w:rsidRPr="003C4A39">
        <w:rPr>
          <w:b/>
          <w:bCs/>
        </w:rPr>
        <w:t>d’approuver</w:t>
      </w:r>
      <w:proofErr w:type="gramEnd"/>
      <w:r w:rsidRPr="003C4A39">
        <w:rPr>
          <w:b/>
          <w:bCs/>
        </w:rPr>
        <w:t xml:space="preserve"> </w:t>
      </w:r>
      <w:r w:rsidRPr="003C4A39">
        <w:t>les termes de la convention d’adhésion - type à la mission de Médiation Préalable Obligatoire (MPO) entre le C</w:t>
      </w:r>
      <w:r w:rsidR="00BE6739">
        <w:t>DG 41</w:t>
      </w:r>
      <w:r w:rsidRPr="003C4A39">
        <w:t xml:space="preserve"> et</w:t>
      </w:r>
      <w:r w:rsidR="0040222E">
        <w:t xml:space="preserve"> </w:t>
      </w:r>
      <w:r w:rsidR="0040222E" w:rsidRPr="0040222E">
        <w:rPr>
          <w:highlight w:val="yellow"/>
        </w:rPr>
        <w:t>….</w:t>
      </w:r>
      <w:r w:rsidRPr="003C4A39">
        <w:t>,</w:t>
      </w:r>
    </w:p>
    <w:p w14:paraId="025F62E6" w14:textId="77777777" w:rsidR="009921EA" w:rsidRPr="003C4A39" w:rsidRDefault="009921EA" w:rsidP="009921EA">
      <w:pPr>
        <w:ind w:left="714"/>
        <w:jc w:val="both"/>
      </w:pPr>
    </w:p>
    <w:p w14:paraId="2061C3AF" w14:textId="77777777" w:rsidR="009921EA" w:rsidRDefault="009921EA" w:rsidP="009921EA">
      <w:pPr>
        <w:numPr>
          <w:ilvl w:val="0"/>
          <w:numId w:val="2"/>
        </w:numPr>
        <w:ind w:left="714" w:hanging="357"/>
        <w:jc w:val="both"/>
      </w:pPr>
      <w:proofErr w:type="gramStart"/>
      <w:r w:rsidRPr="009921EA">
        <w:rPr>
          <w:b/>
          <w:bCs/>
        </w:rPr>
        <w:lastRenderedPageBreak/>
        <w:t>de</w:t>
      </w:r>
      <w:proofErr w:type="gramEnd"/>
      <w:r w:rsidRPr="009921EA">
        <w:rPr>
          <w:b/>
          <w:bCs/>
        </w:rPr>
        <w:t xml:space="preserve"> décider </w:t>
      </w:r>
      <w:r w:rsidRPr="003C4A39">
        <w:t>de</w:t>
      </w:r>
      <w:r w:rsidRPr="009921EA">
        <w:rPr>
          <w:b/>
          <w:bCs/>
        </w:rPr>
        <w:t xml:space="preserve"> </w:t>
      </w:r>
      <w:r w:rsidRPr="003C4A39">
        <w:t>la mise en œuvre de la convention précitée,</w:t>
      </w:r>
    </w:p>
    <w:p w14:paraId="5C66B4F2" w14:textId="77777777" w:rsidR="00A47C58" w:rsidRPr="00A47C58" w:rsidRDefault="00A47C58" w:rsidP="00A47C58">
      <w:pPr>
        <w:ind w:left="714"/>
        <w:jc w:val="both"/>
      </w:pPr>
    </w:p>
    <w:p w14:paraId="5913CD20" w14:textId="7270E8FE" w:rsidR="009921EA" w:rsidRDefault="009921EA" w:rsidP="009921EA">
      <w:pPr>
        <w:numPr>
          <w:ilvl w:val="0"/>
          <w:numId w:val="2"/>
        </w:numPr>
        <w:ind w:left="714" w:hanging="357"/>
        <w:jc w:val="both"/>
      </w:pPr>
      <w:proofErr w:type="gramStart"/>
      <w:r w:rsidRPr="009921EA">
        <w:rPr>
          <w:rFonts w:eastAsia="MS Mincho"/>
          <w:b/>
          <w:bCs/>
        </w:rPr>
        <w:t>d’autoriser</w:t>
      </w:r>
      <w:proofErr w:type="gramEnd"/>
      <w:r w:rsidRPr="009921EA">
        <w:rPr>
          <w:rFonts w:eastAsia="MS Mincho"/>
        </w:rPr>
        <w:t xml:space="preserve"> le </w:t>
      </w:r>
      <w:r w:rsidR="00A47C58" w:rsidRPr="00A47C58">
        <w:rPr>
          <w:rFonts w:eastAsia="MS Mincho"/>
          <w:highlight w:val="yellow"/>
        </w:rPr>
        <w:t xml:space="preserve">Maire / </w:t>
      </w:r>
      <w:proofErr w:type="spellStart"/>
      <w:r w:rsidRPr="00A47C58">
        <w:rPr>
          <w:rFonts w:eastAsia="MS Mincho"/>
          <w:highlight w:val="yellow"/>
        </w:rPr>
        <w:t>Président</w:t>
      </w:r>
      <w:r w:rsidR="00A47C58" w:rsidRPr="00A47C58">
        <w:rPr>
          <w:rFonts w:eastAsia="MS Mincho"/>
          <w:highlight w:val="yellow"/>
        </w:rPr>
        <w:t>.e</w:t>
      </w:r>
      <w:proofErr w:type="spellEnd"/>
      <w:r w:rsidRPr="009921EA">
        <w:rPr>
          <w:rFonts w:eastAsia="MS Mincho"/>
        </w:rPr>
        <w:t xml:space="preserve"> d</w:t>
      </w:r>
      <w:r w:rsidR="00A47C58">
        <w:rPr>
          <w:rFonts w:eastAsia="MS Mincho"/>
        </w:rPr>
        <w:t>e …,</w:t>
      </w:r>
      <w:r w:rsidRPr="009921EA">
        <w:rPr>
          <w:rFonts w:eastAsia="MS Mincho"/>
        </w:rPr>
        <w:t xml:space="preserve"> ou son représentant, à signer cette convention et toutes les pièces relatives à l’exécution de cette délibération</w:t>
      </w:r>
      <w:r w:rsidR="00BE6739">
        <w:rPr>
          <w:rFonts w:eastAsia="MS Mincho"/>
        </w:rPr>
        <w:t>.</w:t>
      </w:r>
    </w:p>
    <w:p w14:paraId="67B12967" w14:textId="77777777" w:rsidR="009921EA" w:rsidRPr="00EB4E4B" w:rsidRDefault="009921EA" w:rsidP="009921EA">
      <w:pPr>
        <w:jc w:val="both"/>
      </w:pPr>
    </w:p>
    <w:p w14:paraId="3EB282C4" w14:textId="77777777" w:rsidR="007B4899" w:rsidRDefault="007B4899" w:rsidP="007B4899"/>
    <w:p w14:paraId="161E47C9" w14:textId="77777777" w:rsidR="005739AA" w:rsidRDefault="005739AA"/>
    <w:sectPr w:rsidR="005739AA" w:rsidSect="009921EA">
      <w:headerReference w:type="even" r:id="rId7"/>
      <w:headerReference w:type="default" r:id="rId8"/>
      <w:footerReference w:type="even" r:id="rId9"/>
      <w:footerReference w:type="default" r:id="rId10"/>
      <w:headerReference w:type="first" r:id="rId11"/>
      <w:footerReference w:type="first" r:id="rId1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13BA" w14:textId="77777777" w:rsidR="00D25DCF" w:rsidRDefault="00D25DCF" w:rsidP="0092030A">
      <w:r>
        <w:separator/>
      </w:r>
    </w:p>
  </w:endnote>
  <w:endnote w:type="continuationSeparator" w:id="0">
    <w:p w14:paraId="1B1FDA6C" w14:textId="77777777" w:rsidR="00D25DCF" w:rsidRDefault="00D25DCF" w:rsidP="0092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6FAE" w14:textId="77777777" w:rsidR="0092030A" w:rsidRDefault="009203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411087"/>
      <w:docPartObj>
        <w:docPartGallery w:val="Page Numbers (Bottom of Page)"/>
        <w:docPartUnique/>
      </w:docPartObj>
    </w:sdtPr>
    <w:sdtEndPr/>
    <w:sdtContent>
      <w:p w14:paraId="57B7BE8A" w14:textId="007C0C7E" w:rsidR="0092030A" w:rsidRDefault="0092030A">
        <w:pPr>
          <w:pStyle w:val="Pieddepage"/>
          <w:jc w:val="center"/>
        </w:pPr>
        <w:r>
          <w:fldChar w:fldCharType="begin"/>
        </w:r>
        <w:r>
          <w:instrText>PAGE   \* MERGEFORMAT</w:instrText>
        </w:r>
        <w:r>
          <w:fldChar w:fldCharType="separate"/>
        </w:r>
        <w:r>
          <w:t>2</w:t>
        </w:r>
        <w:r>
          <w:fldChar w:fldCharType="end"/>
        </w:r>
      </w:p>
    </w:sdtContent>
  </w:sdt>
  <w:p w14:paraId="07FDF092" w14:textId="77777777" w:rsidR="0092030A" w:rsidRDefault="009203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DD25" w14:textId="77777777" w:rsidR="0092030A" w:rsidRDefault="009203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0B81" w14:textId="77777777" w:rsidR="00D25DCF" w:rsidRDefault="00D25DCF" w:rsidP="0092030A">
      <w:r>
        <w:separator/>
      </w:r>
    </w:p>
  </w:footnote>
  <w:footnote w:type="continuationSeparator" w:id="0">
    <w:p w14:paraId="0C103EE9" w14:textId="77777777" w:rsidR="00D25DCF" w:rsidRDefault="00D25DCF" w:rsidP="0092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1CFA" w14:textId="77777777" w:rsidR="0092030A" w:rsidRDefault="009203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48EC" w14:textId="77777777" w:rsidR="0092030A" w:rsidRDefault="009203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1C6C" w14:textId="77777777" w:rsidR="0092030A" w:rsidRDefault="009203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DD7"/>
    <w:multiLevelType w:val="hybridMultilevel"/>
    <w:tmpl w:val="38AC6D8C"/>
    <w:lvl w:ilvl="0" w:tplc="9D5C5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B72095"/>
    <w:multiLevelType w:val="hybridMultilevel"/>
    <w:tmpl w:val="35F2F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A231E2"/>
    <w:multiLevelType w:val="hybridMultilevel"/>
    <w:tmpl w:val="BF62C672"/>
    <w:lvl w:ilvl="0" w:tplc="9D5C5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3E6ACF"/>
    <w:multiLevelType w:val="hybridMultilevel"/>
    <w:tmpl w:val="58B48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724380"/>
    <w:multiLevelType w:val="hybridMultilevel"/>
    <w:tmpl w:val="EC16A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C2045C"/>
    <w:multiLevelType w:val="hybridMultilevel"/>
    <w:tmpl w:val="000E7DEC"/>
    <w:lvl w:ilvl="0" w:tplc="9D5C5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4949356">
    <w:abstractNumId w:val="5"/>
  </w:num>
  <w:num w:numId="2" w16cid:durableId="1571426091">
    <w:abstractNumId w:val="2"/>
  </w:num>
  <w:num w:numId="3" w16cid:durableId="1606575260">
    <w:abstractNumId w:val="0"/>
  </w:num>
  <w:num w:numId="4" w16cid:durableId="309090987">
    <w:abstractNumId w:val="1"/>
  </w:num>
  <w:num w:numId="5" w16cid:durableId="1250846384">
    <w:abstractNumId w:val="3"/>
  </w:num>
  <w:num w:numId="6" w16cid:durableId="298387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99"/>
    <w:rsid w:val="00051830"/>
    <w:rsid w:val="000837CD"/>
    <w:rsid w:val="000B280D"/>
    <w:rsid w:val="00297494"/>
    <w:rsid w:val="002B04C3"/>
    <w:rsid w:val="00360AA1"/>
    <w:rsid w:val="003708AF"/>
    <w:rsid w:val="003F6B45"/>
    <w:rsid w:val="0040222E"/>
    <w:rsid w:val="00412AD4"/>
    <w:rsid w:val="00524708"/>
    <w:rsid w:val="00554AB5"/>
    <w:rsid w:val="0057237C"/>
    <w:rsid w:val="005739AA"/>
    <w:rsid w:val="00590649"/>
    <w:rsid w:val="005A5335"/>
    <w:rsid w:val="005D2CB1"/>
    <w:rsid w:val="00715904"/>
    <w:rsid w:val="007A1FE1"/>
    <w:rsid w:val="007B4899"/>
    <w:rsid w:val="007B4DB7"/>
    <w:rsid w:val="00876293"/>
    <w:rsid w:val="008C535E"/>
    <w:rsid w:val="00902D2A"/>
    <w:rsid w:val="0092030A"/>
    <w:rsid w:val="009921EA"/>
    <w:rsid w:val="009A46D0"/>
    <w:rsid w:val="00A47C58"/>
    <w:rsid w:val="00AE2B9A"/>
    <w:rsid w:val="00BE6739"/>
    <w:rsid w:val="00C036C8"/>
    <w:rsid w:val="00C11A1C"/>
    <w:rsid w:val="00D15213"/>
    <w:rsid w:val="00D25DCF"/>
    <w:rsid w:val="00D8653A"/>
    <w:rsid w:val="00DB72D3"/>
    <w:rsid w:val="00ED5D1A"/>
    <w:rsid w:val="00EE695D"/>
    <w:rsid w:val="00F51FFC"/>
    <w:rsid w:val="00FA703E"/>
    <w:rsid w:val="00FD4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EBC5"/>
  <w15:chartTrackingRefBased/>
  <w15:docId w15:val="{AA738C5A-5AEC-4A8E-8BBA-62B8F0E2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99"/>
    <w:pPr>
      <w:spacing w:after="0" w:line="240" w:lineRule="auto"/>
    </w:pPr>
    <w:rPr>
      <w:rFonts w:ascii="Arial" w:eastAsia="Times New Roman" w:hAnsi="Arial" w:cs="Arial"/>
      <w:sz w:val="20"/>
      <w:szCs w:val="20"/>
      <w:lang w:eastAsia="fr-FR"/>
    </w:rPr>
  </w:style>
  <w:style w:type="paragraph" w:styleId="Titre1">
    <w:name w:val="heading 1"/>
    <w:basedOn w:val="Normal"/>
    <w:link w:val="Titre1Car"/>
    <w:uiPriority w:val="9"/>
    <w:qFormat/>
    <w:rsid w:val="005D2CB1"/>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2CB1"/>
    <w:rPr>
      <w:rFonts w:ascii="Times New Roman" w:eastAsia="Times New Roman" w:hAnsi="Times New Roman" w:cs="Times New Roman"/>
      <w:b/>
      <w:bCs/>
      <w:kern w:val="36"/>
      <w:sz w:val="48"/>
      <w:szCs w:val="48"/>
      <w:lang w:eastAsia="fr-FR"/>
    </w:rPr>
  </w:style>
  <w:style w:type="paragraph" w:styleId="Paragraphedeliste">
    <w:name w:val="List Paragraph"/>
    <w:basedOn w:val="Normal"/>
    <w:link w:val="ParagraphedelisteCar"/>
    <w:uiPriority w:val="34"/>
    <w:qFormat/>
    <w:rsid w:val="005D2CB1"/>
    <w:pPr>
      <w:spacing w:after="200" w:line="276" w:lineRule="auto"/>
      <w:ind w:left="720"/>
      <w:contextualSpacing/>
    </w:pPr>
    <w:rPr>
      <w:rFonts w:ascii="Calibri" w:eastAsia="Calibri" w:hAnsi="Calibri" w:cs="Times New Roman"/>
      <w:sz w:val="22"/>
      <w:szCs w:val="22"/>
      <w:lang w:eastAsia="en-US"/>
    </w:rPr>
  </w:style>
  <w:style w:type="paragraph" w:customStyle="1" w:styleId="VuConsidrant">
    <w:name w:val="Vu.Considérant"/>
    <w:basedOn w:val="Normal"/>
    <w:rsid w:val="005D2CB1"/>
    <w:pPr>
      <w:autoSpaceDE w:val="0"/>
      <w:autoSpaceDN w:val="0"/>
      <w:spacing w:after="140"/>
      <w:jc w:val="both"/>
    </w:pPr>
  </w:style>
  <w:style w:type="paragraph" w:styleId="Pieddepage">
    <w:name w:val="footer"/>
    <w:basedOn w:val="Normal"/>
    <w:link w:val="PieddepageCar"/>
    <w:uiPriority w:val="99"/>
    <w:unhideWhenUsed/>
    <w:rsid w:val="005D2CB1"/>
    <w:pPr>
      <w:tabs>
        <w:tab w:val="center" w:pos="4536"/>
        <w:tab w:val="right" w:pos="9072"/>
      </w:tabs>
    </w:pPr>
  </w:style>
  <w:style w:type="character" w:customStyle="1" w:styleId="PieddepageCar">
    <w:name w:val="Pied de page Car"/>
    <w:basedOn w:val="Policepardfaut"/>
    <w:link w:val="Pieddepage"/>
    <w:uiPriority w:val="99"/>
    <w:rsid w:val="005D2CB1"/>
    <w:rPr>
      <w:rFonts w:ascii="Arial" w:eastAsia="Times New Roman" w:hAnsi="Arial" w:cs="Arial"/>
      <w:sz w:val="20"/>
      <w:szCs w:val="20"/>
      <w:lang w:eastAsia="fr-FR"/>
    </w:rPr>
  </w:style>
  <w:style w:type="character" w:customStyle="1" w:styleId="ParagraphedelisteCar">
    <w:name w:val="Paragraphe de liste Car"/>
    <w:link w:val="Paragraphedeliste"/>
    <w:uiPriority w:val="34"/>
    <w:rsid w:val="005D2CB1"/>
    <w:rPr>
      <w:rFonts w:ascii="Calibri" w:eastAsia="Calibri" w:hAnsi="Calibri" w:cs="Times New Roman"/>
    </w:rPr>
  </w:style>
  <w:style w:type="paragraph" w:styleId="En-tte">
    <w:name w:val="header"/>
    <w:basedOn w:val="Normal"/>
    <w:link w:val="En-tteCar"/>
    <w:uiPriority w:val="99"/>
    <w:unhideWhenUsed/>
    <w:rsid w:val="0092030A"/>
    <w:pPr>
      <w:tabs>
        <w:tab w:val="center" w:pos="4536"/>
        <w:tab w:val="right" w:pos="9072"/>
      </w:tabs>
    </w:pPr>
  </w:style>
  <w:style w:type="character" w:customStyle="1" w:styleId="En-tteCar">
    <w:name w:val="En-tête Car"/>
    <w:basedOn w:val="Policepardfaut"/>
    <w:link w:val="En-tte"/>
    <w:uiPriority w:val="99"/>
    <w:rsid w:val="0092030A"/>
    <w:rPr>
      <w:rFonts w:ascii="Arial" w:eastAsia="Times New Roman" w:hAnsi="Arial" w:cs="Arial"/>
      <w:sz w:val="20"/>
      <w:szCs w:val="20"/>
      <w:lang w:eastAsia="fr-FR"/>
    </w:rPr>
  </w:style>
  <w:style w:type="paragraph" w:customStyle="1" w:styleId="Default">
    <w:name w:val="Default"/>
    <w:rsid w:val="00412AD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6254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cdg</dc:creator>
  <cp:keywords/>
  <dc:description/>
  <cp:lastModifiedBy>Virginie Robert</cp:lastModifiedBy>
  <cp:revision>2</cp:revision>
  <dcterms:created xsi:type="dcterms:W3CDTF">2024-12-13T08:18:00Z</dcterms:created>
  <dcterms:modified xsi:type="dcterms:W3CDTF">2024-12-13T08:18:00Z</dcterms:modified>
</cp:coreProperties>
</file>